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E0254">
      <w:pPr>
        <w:wordWrap w:val="0"/>
        <w:spacing w:line="720" w:lineRule="atLeast"/>
        <w:jc w:val="center"/>
        <w:rPr>
          <w:sz w:val="54"/>
        </w:rPr>
      </w:pPr>
      <w:r>
        <w:rPr>
          <w:rFonts w:ascii="黑体" w:hAnsi="黑体" w:eastAsia="黑体" w:cs="黑体"/>
          <w:b/>
          <w:color w:val="000000"/>
          <w:sz w:val="54"/>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12230100</wp:posOffset>
            </wp:positionV>
            <wp:extent cx="342900" cy="4699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42900" cy="469900"/>
                    </a:xfrm>
                    <a:prstGeom prst="rect">
                      <a:avLst/>
                    </a:prstGeom>
                  </pic:spPr>
                </pic:pic>
              </a:graphicData>
            </a:graphic>
          </wp:anchor>
        </w:drawing>
      </w:r>
      <w:r>
        <w:rPr>
          <w:rFonts w:ascii="黑体" w:hAnsi="黑体" w:eastAsia="黑体" w:cs="黑体"/>
          <w:b/>
          <w:color w:val="000000"/>
          <w:sz w:val="54"/>
        </w:rPr>
        <w:drawing>
          <wp:anchor distT="0" distB="0" distL="0" distR="0" simplePos="0" relativeHeight="251660288" behindDoc="0" locked="0" layoutInCell="1" allowOverlap="1">
            <wp:simplePos x="0" y="0"/>
            <wp:positionH relativeFrom="page">
              <wp:posOffset>10477500</wp:posOffset>
            </wp:positionH>
            <wp:positionV relativeFrom="topMargin">
              <wp:posOffset>12585700</wp:posOffset>
            </wp:positionV>
            <wp:extent cx="419100" cy="495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9100" cy="495300"/>
                    </a:xfrm>
                    <a:prstGeom prst="rect">
                      <a:avLst/>
                    </a:prstGeom>
                  </pic:spPr>
                </pic:pic>
              </a:graphicData>
            </a:graphic>
          </wp:anchor>
        </w:drawing>
      </w:r>
      <w:r>
        <w:rPr>
          <w:rFonts w:ascii="黑体" w:hAnsi="黑体" w:eastAsia="黑体" w:cs="黑体"/>
          <w:b/>
          <w:color w:val="000000"/>
          <w:sz w:val="54"/>
        </w:rPr>
        <w:t>高三元月二模思想政治试题</w:t>
      </w:r>
    </w:p>
    <w:p w14:paraId="6F401B65">
      <w:pPr>
        <w:wordWrap w:val="0"/>
        <w:spacing w:line="400" w:lineRule="exact"/>
        <w:jc w:val="center"/>
        <w:rPr>
          <w:sz w:val="22"/>
        </w:rPr>
      </w:pPr>
    </w:p>
    <w:p w14:paraId="39CA4DBC">
      <w:pPr>
        <w:wordWrap w:val="0"/>
        <w:spacing w:line="400" w:lineRule="atLeast"/>
        <w:jc w:val="center"/>
        <w:rPr>
          <w:sz w:val="22"/>
        </w:rPr>
      </w:pPr>
      <w:r>
        <w:rPr>
          <w:rFonts w:ascii="宋体" w:hAnsi="宋体" w:eastAsia="宋体" w:cs="宋体"/>
          <w:color w:val="000000"/>
          <w:sz w:val="22"/>
        </w:rPr>
        <w:t>本试卷满分100分，考试用时75分钟。</w:t>
      </w:r>
    </w:p>
    <w:p w14:paraId="0EA519B3">
      <w:pPr>
        <w:wordWrap w:val="0"/>
        <w:spacing w:line="400" w:lineRule="atLeast"/>
        <w:ind w:left="500"/>
        <w:rPr>
          <w:sz w:val="22"/>
        </w:rPr>
      </w:pPr>
      <w:r>
        <w:rPr>
          <w:rFonts w:ascii="黑体" w:hAnsi="黑体" w:eastAsia="黑体" w:cs="黑体"/>
          <w:color w:val="000000"/>
          <w:sz w:val="22"/>
        </w:rPr>
        <w:t>注意事项：</w:t>
      </w:r>
    </w:p>
    <w:p w14:paraId="681A5F73">
      <w:pPr>
        <w:wordWrap w:val="0"/>
        <w:spacing w:line="400" w:lineRule="atLeast"/>
        <w:ind w:left="960"/>
        <w:rPr>
          <w:sz w:val="22"/>
        </w:rPr>
      </w:pPr>
      <w:r>
        <w:rPr>
          <w:rFonts w:ascii="宋体" w:hAnsi="宋体" w:eastAsia="宋体" w:cs="宋体"/>
          <w:color w:val="000000"/>
          <w:sz w:val="22"/>
        </w:rPr>
        <w:t>1.答题前，考生务必将自己的姓名、考生号、考场号、座位号填写在答题卡上。</w:t>
      </w:r>
    </w:p>
    <w:p w14:paraId="16FBA829">
      <w:pPr>
        <w:wordWrap w:val="0"/>
        <w:spacing w:line="400" w:lineRule="atLeast"/>
        <w:ind w:left="500" w:right="400" w:firstLine="460"/>
        <w:rPr>
          <w:sz w:val="22"/>
        </w:rPr>
      </w:pPr>
      <w:r>
        <w:rPr>
          <w:rFonts w:ascii="宋体" w:hAnsi="宋体" w:eastAsia="宋体" w:cs="宋体"/>
          <w:color w:val="000000"/>
          <w:sz w:val="22"/>
        </w:rPr>
        <w:t>2.回答选择题时，选出每小题答案后，用铅笔把答题卡上对应题目的答案标号涂黑。如需改动，用橡皮擦干净后，再选涂其他答案标号。回答非选择题时，将答案写在答题卡上。写在本试卷上无效。</w:t>
      </w:r>
    </w:p>
    <w:p w14:paraId="23BD251E">
      <w:pPr>
        <w:wordWrap w:val="0"/>
        <w:spacing w:line="400" w:lineRule="atLeast"/>
        <w:ind w:left="940" w:firstLine="20"/>
        <w:rPr>
          <w:sz w:val="22"/>
        </w:rPr>
      </w:pPr>
      <w:r>
        <w:rPr>
          <w:rFonts w:ascii="宋体" w:hAnsi="宋体" w:eastAsia="宋体" w:cs="宋体"/>
          <w:color w:val="000000"/>
          <w:sz w:val="22"/>
        </w:rPr>
        <w:t>3.考试结束后，将本试卷和答题卡一并交回。</w:t>
      </w:r>
    </w:p>
    <w:p w14:paraId="1B8FD3B5">
      <w:pPr>
        <w:wordWrap w:val="0"/>
        <w:spacing w:before="300" w:line="400" w:lineRule="atLeast"/>
        <w:ind w:left="20"/>
        <w:rPr>
          <w:sz w:val="22"/>
        </w:rPr>
      </w:pPr>
      <w:r>
        <w:rPr>
          <w:rFonts w:ascii="黑体" w:hAnsi="黑体" w:eastAsia="黑体" w:cs="黑体"/>
          <w:color w:val="000000"/>
          <w:sz w:val="22"/>
        </w:rPr>
        <w:t>一、选择题：本题共16小题，每题3分，共48分。每小题只有一个选项符合题目要求。</w:t>
      </w:r>
    </w:p>
    <w:p w14:paraId="2069B270">
      <w:pPr>
        <w:wordWrap w:val="0"/>
        <w:spacing w:line="400" w:lineRule="atLeast"/>
        <w:ind w:left="220" w:hanging="200"/>
        <w:rPr>
          <w:sz w:val="22"/>
        </w:rPr>
      </w:pPr>
      <w:r>
        <w:rPr>
          <w:rFonts w:ascii="宋体" w:hAnsi="宋体" w:eastAsia="宋体" w:cs="宋体"/>
          <w:color w:val="000000"/>
          <w:sz w:val="22"/>
        </w:rPr>
        <w:t>1.1880年，恩格斯在《社会主义从空想到科学的发展》中指出，为了使社会主义变为科学，就必须首先把它置于现实的基础之上。这是恩格斯对社会主义从空想变为科学的基本经验的概括。他认为，空想社会主义者不成熟的理论，是同不成熟的资本主义生产状况、不成熟的阶级关系相适应的。恩格斯的论述意在告诉我们</w:t>
      </w:r>
    </w:p>
    <w:p w14:paraId="08E8112B">
      <w:pPr>
        <w:tabs>
          <w:tab w:val="left" w:pos="4960"/>
        </w:tabs>
        <w:wordWrap w:val="0"/>
        <w:spacing w:line="400" w:lineRule="atLeast"/>
        <w:ind w:left="240"/>
        <w:rPr>
          <w:sz w:val="22"/>
        </w:rPr>
      </w:pPr>
      <w:r>
        <w:rPr>
          <w:rFonts w:ascii="宋体" w:hAnsi="宋体" w:eastAsia="宋体" w:cs="宋体"/>
          <w:color w:val="000000"/>
          <w:sz w:val="22"/>
        </w:rPr>
        <w:t>①科学理论必须与社会实践相结合</w:t>
      </w:r>
      <w:r>
        <w:tab/>
      </w:r>
      <w:r>
        <w:rPr>
          <w:rFonts w:ascii="宋体" w:hAnsi="宋体" w:eastAsia="宋体" w:cs="宋体"/>
          <w:color w:val="000000"/>
          <w:sz w:val="22"/>
        </w:rPr>
        <w:t>②科学社会主义是不断发展的理论</w:t>
      </w:r>
    </w:p>
    <w:p w14:paraId="0ECADA89">
      <w:pPr>
        <w:tabs>
          <w:tab w:val="left" w:pos="4960"/>
        </w:tabs>
        <w:wordWrap w:val="0"/>
        <w:spacing w:line="400" w:lineRule="atLeast"/>
        <w:ind w:left="220"/>
        <w:rPr>
          <w:sz w:val="22"/>
        </w:rPr>
      </w:pPr>
      <w:r>
        <w:rPr>
          <w:rFonts w:ascii="宋体" w:hAnsi="宋体" w:eastAsia="宋体" w:cs="宋体"/>
          <w:color w:val="000000"/>
          <w:sz w:val="22"/>
        </w:rPr>
        <w:t>③社会变革需要正确分析阶级关系</w:t>
      </w:r>
      <w:r>
        <w:tab/>
      </w:r>
      <w:r>
        <w:rPr>
          <w:rFonts w:ascii="宋体" w:hAnsi="宋体" w:eastAsia="宋体" w:cs="宋体"/>
          <w:color w:val="000000"/>
          <w:sz w:val="22"/>
        </w:rPr>
        <w:t>④资本主义社会基本矛盾不可克服</w:t>
      </w:r>
    </w:p>
    <w:p w14:paraId="6326DA14">
      <w:pPr>
        <w:tabs>
          <w:tab w:val="left" w:pos="2640"/>
          <w:tab w:val="left" w:pos="4960"/>
          <w:tab w:val="left" w:pos="7300"/>
        </w:tabs>
        <w:wordWrap w:val="0"/>
        <w:spacing w:line="360" w:lineRule="atLeast"/>
        <w:ind w:left="240"/>
        <w:rPr>
          <w:sz w:val="27"/>
        </w:rPr>
      </w:pPr>
      <w:r>
        <w:rPr>
          <w:rFonts w:ascii="宋体" w:hAnsi="宋体" w:eastAsia="宋体" w:cs="宋体"/>
          <w:color w:val="000000"/>
          <w:sz w:val="27"/>
        </w:rPr>
        <w:t>A.①③</w:t>
      </w:r>
      <w:r>
        <w:tab/>
      </w:r>
      <w:r>
        <w:rPr>
          <w:rFonts w:ascii="宋体" w:hAnsi="宋体" w:eastAsia="宋体" w:cs="宋体"/>
          <w:color w:val="000000"/>
          <w:sz w:val="27"/>
        </w:rPr>
        <w:t>B.①④</w:t>
      </w:r>
      <w:r>
        <w:tab/>
      </w:r>
      <w:r>
        <w:rPr>
          <w:rFonts w:ascii="宋体" w:hAnsi="宋体" w:eastAsia="宋体" w:cs="宋体"/>
          <w:color w:val="000000"/>
          <w:sz w:val="27"/>
        </w:rPr>
        <w:t>C.②③</w:t>
      </w:r>
      <w:r>
        <w:tab/>
      </w:r>
      <w:r>
        <w:rPr>
          <w:rFonts w:ascii="宋体" w:hAnsi="宋体" w:eastAsia="宋体" w:cs="宋体"/>
          <w:color w:val="000000"/>
          <w:sz w:val="27"/>
        </w:rPr>
        <w:t>D ②④</w:t>
      </w:r>
    </w:p>
    <w:p w14:paraId="0CC12A43">
      <w:pPr>
        <w:wordWrap w:val="0"/>
        <w:spacing w:line="400" w:lineRule="atLeast"/>
        <w:ind w:left="240" w:hanging="240"/>
        <w:rPr>
          <w:sz w:val="22"/>
        </w:rPr>
      </w:pPr>
      <w:r>
        <w:rPr>
          <w:rFonts w:ascii="宋体" w:hAnsi="宋体" w:eastAsia="宋体" w:cs="宋体"/>
          <w:color w:val="000000"/>
          <w:sz w:val="22"/>
        </w:rPr>
        <w:t>2.习近平总书记指出：“当代中国的伟大社会变革，不是简单延续我国历史文化的母版，不是简单套用马克思主义经典作家设想的模板，不是其他国家社会主义实践的再版，也不是国外现代化发展的翻版。”这一论述意在说明中国特色社会主义是</w:t>
      </w:r>
    </w:p>
    <w:p w14:paraId="3525518E">
      <w:pPr>
        <w:wordWrap w:val="0"/>
        <w:spacing w:line="400" w:lineRule="atLeast"/>
        <w:ind w:left="240"/>
        <w:rPr>
          <w:sz w:val="22"/>
        </w:rPr>
      </w:pPr>
      <w:r>
        <w:rPr>
          <w:rFonts w:ascii="宋体" w:hAnsi="宋体" w:eastAsia="宋体" w:cs="宋体"/>
          <w:color w:val="000000"/>
          <w:sz w:val="22"/>
        </w:rPr>
        <w:t>①根植于中国大地的，适应中国国情和时代发展进步的要求</w:t>
      </w:r>
    </w:p>
    <w:p w14:paraId="2861E2B8">
      <w:pPr>
        <w:wordWrap w:val="0"/>
        <w:spacing w:line="400" w:lineRule="atLeast"/>
        <w:ind w:left="240"/>
        <w:rPr>
          <w:sz w:val="22"/>
        </w:rPr>
      </w:pPr>
      <w:r>
        <w:rPr>
          <w:rFonts w:ascii="宋体" w:hAnsi="宋体" w:eastAsia="宋体" w:cs="宋体"/>
          <w:color w:val="000000"/>
          <w:sz w:val="22"/>
        </w:rPr>
        <w:t>②对共产党执政规律和社会主义建设规律的真理性认识</w:t>
      </w:r>
    </w:p>
    <w:p w14:paraId="6CC374C3">
      <w:pPr>
        <w:wordWrap w:val="0"/>
        <w:spacing w:line="400" w:lineRule="atLeast"/>
        <w:ind w:left="240"/>
        <w:rPr>
          <w:sz w:val="22"/>
        </w:rPr>
      </w:pPr>
      <w:r>
        <w:rPr>
          <w:rFonts w:ascii="宋体" w:hAnsi="宋体" w:eastAsia="宋体" w:cs="宋体"/>
          <w:color w:val="000000"/>
          <w:sz w:val="22"/>
        </w:rPr>
        <w:t>③在指导新时代伟大社会革命中不断丰富和发展的理论</w:t>
      </w:r>
    </w:p>
    <w:p w14:paraId="540AF661">
      <w:pPr>
        <w:wordWrap w:val="0"/>
        <w:spacing w:line="400" w:lineRule="atLeast"/>
        <w:ind w:left="240"/>
        <w:rPr>
          <w:sz w:val="22"/>
        </w:rPr>
      </w:pPr>
      <w:r>
        <w:rPr>
          <w:rFonts w:ascii="宋体" w:hAnsi="宋体" w:eastAsia="宋体" w:cs="宋体"/>
          <w:color w:val="000000"/>
          <w:sz w:val="22"/>
        </w:rPr>
        <w:t>④科学社会主义理论逻辑和中国发展历史逻辑的辩证统一</w:t>
      </w:r>
    </w:p>
    <w:p w14:paraId="4C7AE8D8">
      <w:pPr>
        <w:tabs>
          <w:tab w:val="left" w:pos="2620"/>
          <w:tab w:val="left" w:pos="4960"/>
          <w:tab w:val="left" w:pos="7280"/>
        </w:tabs>
        <w:wordWrap w:val="0"/>
        <w:spacing w:line="360" w:lineRule="atLeast"/>
        <w:ind w:left="240"/>
        <w:rPr>
          <w:sz w:val="27"/>
        </w:rPr>
      </w:pPr>
      <w:r>
        <w:rPr>
          <w:rFonts w:ascii="宋体" w:hAnsi="宋体" w:eastAsia="宋体" w:cs="宋体"/>
          <w:color w:val="000000"/>
          <w:sz w:val="27"/>
        </w:rPr>
        <w:t>A.①②</w:t>
      </w:r>
      <w:r>
        <w:tab/>
      </w:r>
      <w:r>
        <w:rPr>
          <w:rFonts w:ascii="宋体" w:hAnsi="宋体" w:eastAsia="宋体" w:cs="宋体"/>
          <w:color w:val="000000"/>
          <w:sz w:val="27"/>
        </w:rPr>
        <w:t>B.①④</w:t>
      </w:r>
      <w:r>
        <w:tab/>
      </w:r>
      <w:r>
        <w:rPr>
          <w:rFonts w:ascii="宋体" w:hAnsi="宋体" w:eastAsia="宋体" w:cs="宋体"/>
          <w:color w:val="000000"/>
          <w:sz w:val="27"/>
        </w:rPr>
        <w:t>C.②③</w:t>
      </w:r>
      <w:r>
        <w:tab/>
      </w:r>
      <w:r>
        <w:rPr>
          <w:rFonts w:ascii="宋体" w:hAnsi="宋体" w:eastAsia="宋体" w:cs="宋体"/>
          <w:color w:val="000000"/>
          <w:sz w:val="27"/>
        </w:rPr>
        <w:t>D.③④</w:t>
      </w:r>
    </w:p>
    <w:p w14:paraId="1C56F710">
      <w:pPr>
        <w:wordWrap w:val="0"/>
        <w:spacing w:line="400" w:lineRule="atLeast"/>
        <w:ind w:left="220" w:hanging="200"/>
        <w:rPr>
          <w:sz w:val="22"/>
        </w:rPr>
      </w:pPr>
      <w:r>
        <w:rPr>
          <w:rFonts w:ascii="宋体" w:hAnsi="宋体" w:eastAsia="宋体" w:cs="宋体"/>
          <w:color w:val="000000"/>
          <w:sz w:val="22"/>
        </w:rPr>
        <w:t>3.推动村级集体经济多元发展，需要坚持“宜农则农、宜商则商、宜游则游、一村一策”原则，根据地域资源禀赋优势，通过自主研发、合资合作等方式，发展乡村旅游、红色研学基地等经营服务业，丰富农村集体经济业态，盘活闲置资产、资源，努力实现质量高、效益好、更可持续的发展，最大限度地将资源优势变成农村集体经济效益。下列推导符合材料表述的是</w:t>
      </w:r>
    </w:p>
    <w:p w14:paraId="3E0E993B">
      <w:pPr>
        <w:wordWrap w:val="0"/>
        <w:spacing w:line="400" w:lineRule="atLeast"/>
        <w:ind w:left="240"/>
        <w:rPr>
          <w:sz w:val="22"/>
        </w:rPr>
      </w:pPr>
      <w:r>
        <w:rPr>
          <w:rFonts w:ascii="宋体" w:hAnsi="宋体" w:eastAsia="宋体" w:cs="宋体"/>
          <w:color w:val="000000"/>
          <w:sz w:val="22"/>
        </w:rPr>
        <w:t>①丰富集体经济业态→流转土地所有权→提升农业竞争力</w:t>
      </w:r>
    </w:p>
    <w:p w14:paraId="61F89562">
      <w:pPr>
        <w:wordWrap w:val="0"/>
        <w:spacing w:line="400" w:lineRule="atLeast"/>
        <w:ind w:left="240"/>
        <w:rPr>
          <w:sz w:val="22"/>
        </w:rPr>
      </w:pPr>
      <w:r>
        <w:rPr>
          <w:rFonts w:ascii="宋体" w:hAnsi="宋体" w:eastAsia="宋体" w:cs="宋体"/>
          <w:color w:val="000000"/>
          <w:sz w:val="22"/>
        </w:rPr>
        <w:t>②发挥地域资源禀赋优势→优化农村产业结构→促进产业融合</w:t>
      </w:r>
    </w:p>
    <w:p w14:paraId="3A0E9A2E">
      <w:pPr>
        <w:wordWrap w:val="0"/>
        <w:spacing w:line="400" w:lineRule="atLeast"/>
        <w:ind w:left="240"/>
        <w:rPr>
          <w:sz w:val="22"/>
        </w:rPr>
      </w:pPr>
      <w:r>
        <w:rPr>
          <w:rFonts w:ascii="宋体" w:hAnsi="宋体" w:eastAsia="宋体" w:cs="宋体"/>
          <w:color w:val="000000"/>
          <w:sz w:val="22"/>
        </w:rPr>
        <w:t>③推动集体经济改革→建立现代企业制度→推动集体经济多元发展</w:t>
      </w:r>
    </w:p>
    <w:p w14:paraId="4E8E138F">
      <w:pPr>
        <w:wordWrap w:val="0"/>
        <w:spacing w:line="400" w:lineRule="atLeast"/>
        <w:ind w:left="240"/>
        <w:rPr>
          <w:sz w:val="22"/>
        </w:rPr>
      </w:pPr>
      <w:r>
        <w:rPr>
          <w:rFonts w:ascii="宋体" w:hAnsi="宋体" w:eastAsia="宋体" w:cs="宋体"/>
          <w:color w:val="000000"/>
          <w:sz w:val="22"/>
        </w:rPr>
        <w:t>④催生集体经济新业态→注入农村发展新动能→开拓新的发展空间</w:t>
      </w:r>
    </w:p>
    <w:p w14:paraId="52E6318D">
      <w:pPr>
        <w:tabs>
          <w:tab w:val="left" w:pos="2640"/>
          <w:tab w:val="left" w:pos="4960"/>
          <w:tab w:val="left" w:pos="7280"/>
        </w:tabs>
        <w:wordWrap w:val="0"/>
        <w:spacing w:line="360" w:lineRule="atLeast"/>
        <w:ind w:left="280"/>
        <w:rPr>
          <w:sz w:val="27"/>
        </w:rPr>
      </w:pPr>
      <w:r>
        <w:rPr>
          <w:rFonts w:ascii="宋体" w:hAnsi="宋体" w:eastAsia="宋体" w:cs="宋体"/>
          <w:color w:val="000000"/>
          <w:sz w:val="27"/>
        </w:rPr>
        <w:t>A.①②</w:t>
      </w:r>
      <w:r>
        <w:tab/>
      </w:r>
      <w:r>
        <w:rPr>
          <w:rFonts w:ascii="宋体" w:hAnsi="宋体" w:eastAsia="宋体" w:cs="宋体"/>
          <w:color w:val="000000"/>
          <w:sz w:val="27"/>
        </w:rPr>
        <w:t>B.①③</w:t>
      </w:r>
      <w:r>
        <w:tab/>
      </w:r>
      <w:r>
        <w:rPr>
          <w:rFonts w:ascii="宋体" w:hAnsi="宋体" w:eastAsia="宋体" w:cs="宋体"/>
          <w:color w:val="000000"/>
          <w:sz w:val="27"/>
        </w:rPr>
        <w:t>C.②④</w:t>
      </w:r>
      <w:r>
        <w:tab/>
      </w:r>
      <w:r>
        <w:rPr>
          <w:rFonts w:ascii="宋体" w:hAnsi="宋体" w:eastAsia="宋体" w:cs="宋体"/>
          <w:color w:val="000000"/>
          <w:sz w:val="27"/>
        </w:rPr>
        <w:t>D.③④</w:t>
      </w:r>
    </w:p>
    <w:p w14:paraId="5C8D9890">
      <w:pPr>
        <w:wordWrap w:val="0"/>
        <w:spacing w:line="380" w:lineRule="atLeast"/>
        <w:ind w:left="260" w:right="20" w:hanging="260"/>
        <w:rPr>
          <w:sz w:val="24"/>
        </w:rPr>
      </w:pPr>
      <w:r>
        <w:rPr>
          <w:rFonts w:ascii="宋体" w:hAnsi="宋体" w:eastAsia="宋体" w:cs="宋体"/>
          <w:color w:val="000000"/>
          <w:sz w:val="24"/>
        </w:rPr>
        <w:t>4.当前，我国民间投资面临一些挑战。为激发民间投资活力，助力经济高质量发展，各地方政府出台了一系列政策。对下列政策组合的传导效应分析合理的是</w:t>
      </w:r>
    </w:p>
    <w:p w14:paraId="51A9AB7E">
      <w:pPr>
        <w:wordWrap w:val="0"/>
        <w:spacing w:line="380" w:lineRule="atLeast"/>
        <w:ind w:left="240"/>
        <w:rPr>
          <w:sz w:val="24"/>
        </w:rPr>
      </w:pPr>
      <w:r>
        <w:rPr>
          <w:rFonts w:ascii="宋体" w:hAnsi="宋体" w:eastAsia="宋体" w:cs="宋体"/>
          <w:color w:val="000000"/>
          <w:sz w:val="24"/>
        </w:rPr>
        <w:t>①推行科技悬赏制度+给予科研项目资金支持→吸引民间资本投入科技创新领域→推进新技术的研发和应用</w:t>
      </w:r>
    </w:p>
    <w:p w14:paraId="77C82726">
      <w:pPr>
        <w:wordWrap w:val="0"/>
        <w:spacing w:line="380" w:lineRule="atLeast"/>
        <w:ind w:left="240"/>
        <w:rPr>
          <w:sz w:val="24"/>
        </w:rPr>
      </w:pPr>
      <w:r>
        <w:rPr>
          <w:rFonts w:ascii="宋体" w:hAnsi="宋体" w:eastAsia="宋体" w:cs="宋体"/>
          <w:color w:val="000000"/>
          <w:sz w:val="24"/>
        </w:rPr>
        <w:t>②实施差别化信贷政策+对高污染企业提高贷款利率→引导民间资本流向绿色产业→优化民间投资的产业结构</w:t>
      </w:r>
    </w:p>
    <w:p w14:paraId="3350EAC0">
      <w:pPr>
        <w:wordWrap w:val="0"/>
        <w:spacing w:line="380" w:lineRule="atLeast"/>
        <w:ind w:left="240" w:right="20"/>
        <w:rPr>
          <w:sz w:val="24"/>
        </w:rPr>
      </w:pPr>
      <w:r>
        <w:rPr>
          <w:rFonts w:ascii="宋体" w:hAnsi="宋体" w:eastAsia="宋体" w:cs="宋体"/>
          <w:color w:val="000000"/>
          <w:sz w:val="24"/>
        </w:rPr>
        <w:t>③降低制造业增值税起征点+对小微企业实施税收减免→提高民间制造业企业的利润率→增加民间资本对制造业的投资</w:t>
      </w:r>
    </w:p>
    <w:p w14:paraId="261CF9F5">
      <w:pPr>
        <w:wordWrap w:val="0"/>
        <w:spacing w:line="380" w:lineRule="atLeast"/>
        <w:ind w:left="240"/>
        <w:rPr>
          <w:sz w:val="24"/>
        </w:rPr>
      </w:pPr>
      <w:r>
        <w:rPr>
          <w:rFonts w:ascii="宋体" w:hAnsi="宋体" w:eastAsia="宋体" w:cs="宋体"/>
          <w:color w:val="000000"/>
          <w:sz w:val="24"/>
        </w:rPr>
        <w:t>④建立产业引导基金+政府出资引导社会资本参与→带动民间资本跟进特定产业→增强国有经济的控制力</w:t>
      </w:r>
    </w:p>
    <w:p w14:paraId="1D6EF996">
      <w:pPr>
        <w:tabs>
          <w:tab w:val="left" w:pos="2820"/>
          <w:tab w:val="left" w:pos="5360"/>
          <w:tab w:val="left" w:pos="7920"/>
        </w:tabs>
        <w:wordWrap w:val="0"/>
        <w:spacing w:line="360" w:lineRule="atLeast"/>
        <w:ind w:left="260"/>
        <w:rPr>
          <w:sz w:val="26"/>
        </w:rPr>
      </w:pPr>
      <w:r>
        <w:rPr>
          <w:rFonts w:ascii="宋体" w:hAnsi="宋体" w:eastAsia="宋体" w:cs="宋体"/>
          <w:color w:val="000000"/>
          <w:sz w:val="26"/>
        </w:rPr>
        <w:t>A.①②</w:t>
      </w:r>
      <w:r>
        <w:tab/>
      </w:r>
      <w:r>
        <w:rPr>
          <w:rFonts w:ascii="宋体" w:hAnsi="宋体" w:eastAsia="宋体" w:cs="宋体"/>
          <w:color w:val="000000"/>
          <w:sz w:val="26"/>
        </w:rPr>
        <w:t>B.①④</w:t>
      </w:r>
      <w:r>
        <w:tab/>
      </w:r>
      <w:r>
        <w:rPr>
          <w:rFonts w:ascii="宋体" w:hAnsi="宋体" w:eastAsia="宋体" w:cs="宋体"/>
          <w:color w:val="000000"/>
          <w:sz w:val="26"/>
        </w:rPr>
        <w:t>C.②③</w:t>
      </w:r>
      <w:r>
        <w:tab/>
      </w:r>
      <w:r>
        <w:rPr>
          <w:rFonts w:ascii="宋体" w:hAnsi="宋体" w:eastAsia="宋体" w:cs="宋体"/>
          <w:color w:val="000000"/>
          <w:sz w:val="26"/>
        </w:rPr>
        <w:t>D.③④</w:t>
      </w:r>
    </w:p>
    <w:p w14:paraId="1112224A">
      <w:pPr>
        <w:wordWrap w:val="0"/>
        <w:spacing w:line="380" w:lineRule="atLeast"/>
        <w:ind w:left="200" w:right="20" w:hanging="200"/>
        <w:rPr>
          <w:sz w:val="24"/>
        </w:rPr>
      </w:pPr>
      <w:r>
        <w:rPr>
          <w:rFonts w:ascii="宋体" w:hAnsi="宋体" w:eastAsia="宋体" w:cs="宋体"/>
          <w:color w:val="000000"/>
          <w:sz w:val="24"/>
        </w:rPr>
        <w:t>5.党建聚人心，幸福来敲门。某区优化了66项街道属地管理事项清单，一大批党员群众参与到社区治理和服务群众中来，常态化定格在小区、楼栋，实现了平时志愿服务与急时社区统筹的有效衔接；各社区通过积极与驻地单位共同开展活动、定期召开联席会议等方式，共同商议为群众办实事、解难题，打通服务群众的“最后一公里”。这些做法</w:t>
      </w:r>
    </w:p>
    <w:p w14:paraId="0E67D2BA">
      <w:pPr>
        <w:wordWrap w:val="0"/>
        <w:spacing w:line="360" w:lineRule="atLeast"/>
        <w:ind w:left="240"/>
        <w:rPr>
          <w:sz w:val="26"/>
        </w:rPr>
      </w:pPr>
      <w:r>
        <w:rPr>
          <w:rFonts w:ascii="宋体" w:hAnsi="宋体" w:eastAsia="宋体" w:cs="宋体"/>
          <w:color w:val="000000"/>
          <w:sz w:val="26"/>
        </w:rPr>
        <w:t>A.以党建引领基层治理，拓展基层民主自治形式</w:t>
      </w:r>
    </w:p>
    <w:p w14:paraId="62619445">
      <w:pPr>
        <w:wordWrap w:val="0"/>
        <w:spacing w:line="360" w:lineRule="atLeast"/>
        <w:ind w:left="240"/>
        <w:rPr>
          <w:sz w:val="26"/>
        </w:rPr>
      </w:pPr>
      <w:r>
        <w:rPr>
          <w:rFonts w:ascii="宋体" w:hAnsi="宋体" w:eastAsia="宋体" w:cs="宋体"/>
          <w:color w:val="000000"/>
          <w:sz w:val="26"/>
        </w:rPr>
        <w:t>B.推动社会治理重心下沉，为街道社区减负扩权</w:t>
      </w:r>
    </w:p>
    <w:p w14:paraId="2275EB3D">
      <w:pPr>
        <w:wordWrap w:val="0"/>
        <w:spacing w:line="360" w:lineRule="atLeast"/>
        <w:ind w:left="240"/>
        <w:rPr>
          <w:sz w:val="26"/>
        </w:rPr>
      </w:pPr>
      <w:r>
        <w:rPr>
          <w:rFonts w:ascii="宋体" w:hAnsi="宋体" w:eastAsia="宋体" w:cs="宋体"/>
          <w:color w:val="000000"/>
          <w:sz w:val="26"/>
        </w:rPr>
        <w:t>C.提高党员执政能力，增强党的群众组织力、社会号召力</w:t>
      </w:r>
    </w:p>
    <w:p w14:paraId="58EC93DA">
      <w:pPr>
        <w:wordWrap w:val="0"/>
        <w:spacing w:line="360" w:lineRule="atLeast"/>
        <w:ind w:left="240"/>
        <w:rPr>
          <w:sz w:val="26"/>
        </w:rPr>
      </w:pPr>
      <w:r>
        <w:rPr>
          <w:rFonts w:ascii="宋体" w:hAnsi="宋体" w:eastAsia="宋体" w:cs="宋体"/>
          <w:color w:val="000000"/>
          <w:sz w:val="26"/>
        </w:rPr>
        <w:t>D.充分发挥协商民主的独特优势，提升基层治理效能</w:t>
      </w:r>
    </w:p>
    <w:p w14:paraId="3E147E08">
      <w:pPr>
        <w:wordWrap w:val="0"/>
        <w:spacing w:line="380" w:lineRule="atLeast"/>
        <w:ind w:left="200" w:right="40" w:hanging="200"/>
        <w:rPr>
          <w:sz w:val="24"/>
        </w:rPr>
      </w:pPr>
      <w:r>
        <w:rPr>
          <w:rFonts w:ascii="宋体" w:hAnsi="宋体" w:eastAsia="宋体" w:cs="宋体"/>
          <w:color w:val="000000"/>
          <w:sz w:val="24"/>
        </w:rPr>
        <w:t>6.为加强网络数据安全管理工作，国务院根据《中华人民共和国网络安全法》《中华人民共和国数据安全法》等法律，制定施行《网络数据安全管理条例》。该条例规定，各有关主管部门对网络数据处理者履行网络数据安全保护义务情况进行监督检查，指导督促网络数据处理者及时对存在的风险隐患进行整改。国家机关不履行本条例规定的网络数据安全保护义务的，由其上级机关或者有关主管部门责令改正。根据材料，下列推断正确的是</w:t>
      </w:r>
    </w:p>
    <w:p w14:paraId="616B360B">
      <w:pPr>
        <w:wordWrap w:val="0"/>
        <w:spacing w:line="380" w:lineRule="atLeast"/>
        <w:ind w:left="240"/>
        <w:rPr>
          <w:sz w:val="24"/>
        </w:rPr>
      </w:pPr>
      <w:r>
        <w:rPr>
          <w:rFonts w:ascii="宋体" w:hAnsi="宋体" w:eastAsia="宋体" w:cs="宋体"/>
          <w:color w:val="000000"/>
          <w:sz w:val="24"/>
        </w:rPr>
        <w:t>①网络数据处理者应依据法律规范加强自我管理以保障网络数据安全</w:t>
      </w:r>
    </w:p>
    <w:p w14:paraId="1792A026">
      <w:pPr>
        <w:wordWrap w:val="0"/>
        <w:spacing w:line="380" w:lineRule="atLeast"/>
        <w:ind w:left="240"/>
        <w:rPr>
          <w:sz w:val="24"/>
        </w:rPr>
      </w:pPr>
      <w:r>
        <w:rPr>
          <w:rFonts w:ascii="宋体" w:hAnsi="宋体" w:eastAsia="宋体" w:cs="宋体"/>
          <w:color w:val="000000"/>
          <w:sz w:val="24"/>
        </w:rPr>
        <w:t>②我国坚持科学立法、民主立法，立法过程注重法律体系的衔接和层级性</w:t>
      </w:r>
    </w:p>
    <w:p w14:paraId="5ACA9616">
      <w:pPr>
        <w:wordWrap w:val="0"/>
        <w:spacing w:line="380" w:lineRule="atLeast"/>
        <w:ind w:left="240"/>
        <w:rPr>
          <w:sz w:val="24"/>
        </w:rPr>
      </w:pPr>
      <w:r>
        <w:rPr>
          <w:rFonts w:ascii="宋体" w:hAnsi="宋体" w:eastAsia="宋体" w:cs="宋体"/>
          <w:color w:val="000000"/>
          <w:sz w:val="24"/>
        </w:rPr>
        <w:t>③国家机关应坚持依法履职，在网络数据安全管理中协调一致开展工作</w:t>
      </w:r>
    </w:p>
    <w:p w14:paraId="3D22C036">
      <w:pPr>
        <w:wordWrap w:val="0"/>
        <w:spacing w:line="380" w:lineRule="atLeast"/>
        <w:ind w:left="240"/>
        <w:rPr>
          <w:sz w:val="24"/>
        </w:rPr>
      </w:pPr>
      <w:r>
        <w:rPr>
          <w:rFonts w:ascii="宋体" w:hAnsi="宋体" w:eastAsia="宋体" w:cs="宋体"/>
          <w:color w:val="000000"/>
          <w:sz w:val="24"/>
        </w:rPr>
        <w:t>④该条例为备有关主管部门依法进行司法监督提供了法律制度依据</w:t>
      </w:r>
    </w:p>
    <w:p w14:paraId="7980A3BC">
      <w:pPr>
        <w:tabs>
          <w:tab w:val="left" w:pos="2840"/>
          <w:tab w:val="left" w:pos="5380"/>
          <w:tab w:val="left" w:pos="7900"/>
        </w:tabs>
        <w:wordWrap w:val="0"/>
        <w:spacing w:line="360" w:lineRule="atLeast"/>
        <w:ind w:left="240"/>
        <w:rPr>
          <w:sz w:val="26"/>
        </w:rPr>
      </w:pPr>
      <w:r>
        <w:rPr>
          <w:rFonts w:ascii="宋体" w:hAnsi="宋体" w:eastAsia="宋体" w:cs="宋体"/>
          <w:color w:val="000000"/>
          <w:sz w:val="26"/>
        </w:rPr>
        <w:t>A.①②</w:t>
      </w:r>
      <w:r>
        <w:tab/>
      </w:r>
      <w:r>
        <w:rPr>
          <w:rFonts w:ascii="宋体" w:hAnsi="宋体" w:eastAsia="宋体" w:cs="宋体"/>
          <w:color w:val="000000"/>
          <w:sz w:val="26"/>
        </w:rPr>
        <w:t>B.①③</w:t>
      </w:r>
      <w:r>
        <w:tab/>
      </w:r>
      <w:r>
        <w:rPr>
          <w:rFonts w:ascii="宋体" w:hAnsi="宋体" w:eastAsia="宋体" w:cs="宋体"/>
          <w:color w:val="000000"/>
          <w:sz w:val="26"/>
        </w:rPr>
        <w:t>C.②④</w:t>
      </w:r>
      <w:r>
        <w:tab/>
      </w:r>
      <w:r>
        <w:rPr>
          <w:rFonts w:ascii="宋体" w:hAnsi="宋体" w:eastAsia="宋体" w:cs="宋体"/>
          <w:color w:val="000000"/>
          <w:sz w:val="26"/>
        </w:rPr>
        <w:t>D.③④</w:t>
      </w:r>
    </w:p>
    <w:p w14:paraId="76BE550C">
      <w:pPr>
        <w:wordWrap w:val="0"/>
        <w:spacing w:line="380" w:lineRule="atLeast"/>
        <w:ind w:left="200" w:right="40" w:hanging="200"/>
        <w:rPr>
          <w:sz w:val="24"/>
        </w:rPr>
      </w:pPr>
      <w:r>
        <w:rPr>
          <w:rFonts w:ascii="宋体" w:hAnsi="宋体" w:eastAsia="宋体" w:cs="宋体"/>
          <w:color w:val="000000"/>
          <w:sz w:val="24"/>
        </w:rPr>
        <w:t>7.露作为一种自然现象，人们对它的观察和认识充分体现在词汇中。露珠强调“露”的形状特征，秋露点明“露”的季节特征，朝露、宿露突出“露”的时闽特征，花露、草露、竹露体现“露”的空间特征等。由材料可知</w:t>
      </w:r>
    </w:p>
    <w:p w14:paraId="012CABA0">
      <w:pPr>
        <w:wordWrap w:val="0"/>
        <w:spacing w:line="380" w:lineRule="atLeast"/>
        <w:ind w:left="240"/>
        <w:rPr>
          <w:sz w:val="24"/>
        </w:rPr>
      </w:pPr>
      <w:r>
        <w:rPr>
          <w:rFonts w:ascii="宋体" w:hAnsi="宋体" w:eastAsia="宋体" w:cs="宋体"/>
          <w:color w:val="000000"/>
          <w:sz w:val="24"/>
        </w:rPr>
        <w:t>①劳动和社会交往提供和丰富了意识的内容</w:t>
      </w:r>
    </w:p>
    <w:p w14:paraId="445DED11">
      <w:pPr>
        <w:wordWrap w:val="0"/>
        <w:spacing w:line="380" w:lineRule="atLeast"/>
        <w:ind w:left="240"/>
        <w:rPr>
          <w:sz w:val="24"/>
        </w:rPr>
      </w:pPr>
      <w:r>
        <w:rPr>
          <w:rFonts w:ascii="宋体" w:hAnsi="宋体" w:eastAsia="宋体" w:cs="宋体"/>
          <w:color w:val="000000"/>
          <w:sz w:val="24"/>
        </w:rPr>
        <w:t>②意识对客观世界的反映可以通过语言表达出来</w:t>
      </w:r>
    </w:p>
    <w:p w14:paraId="3BE7FC0F">
      <w:pPr>
        <w:wordWrap w:val="0"/>
        <w:spacing w:line="380" w:lineRule="atLeast"/>
        <w:ind w:left="240"/>
        <w:rPr>
          <w:sz w:val="24"/>
        </w:rPr>
      </w:pPr>
      <w:r>
        <w:rPr>
          <w:rFonts w:ascii="宋体" w:hAnsi="宋体" w:eastAsia="宋体" w:cs="宋体"/>
          <w:color w:val="000000"/>
          <w:sz w:val="24"/>
        </w:rPr>
        <w:t>③事物是普遍性与特殊性的对立统一</w:t>
      </w:r>
    </w:p>
    <w:p w14:paraId="2CF59B70">
      <w:pPr>
        <w:wordWrap w:val="0"/>
        <w:spacing w:line="380" w:lineRule="atLeast"/>
        <w:ind w:left="240"/>
        <w:rPr>
          <w:sz w:val="24"/>
        </w:rPr>
      </w:pPr>
      <w:r>
        <w:rPr>
          <w:rFonts w:ascii="宋体" w:hAnsi="宋体" w:eastAsia="宋体" w:cs="宋体"/>
          <w:color w:val="000000"/>
          <w:sz w:val="24"/>
        </w:rPr>
        <w:t>④人们借助抽象思维把握事物本质和规律</w:t>
      </w:r>
    </w:p>
    <w:p w14:paraId="5A64D8AA">
      <w:pPr>
        <w:tabs>
          <w:tab w:val="left" w:pos="2820"/>
          <w:tab w:val="left" w:pos="5380"/>
          <w:tab w:val="left" w:pos="7900"/>
        </w:tabs>
        <w:wordWrap w:val="0"/>
        <w:spacing w:line="360" w:lineRule="atLeast"/>
        <w:ind w:left="260"/>
        <w:rPr>
          <w:sz w:val="26"/>
        </w:rPr>
      </w:pPr>
      <w:r>
        <w:rPr>
          <w:rFonts w:ascii="宋体" w:hAnsi="宋体" w:eastAsia="宋体" w:cs="宋体"/>
          <w:color w:val="000000"/>
          <w:sz w:val="26"/>
        </w:rPr>
        <w:t>A.①②</w:t>
      </w:r>
      <w:r>
        <w:tab/>
      </w:r>
      <w:r>
        <w:rPr>
          <w:rFonts w:ascii="宋体" w:hAnsi="宋体" w:eastAsia="宋体" w:cs="宋体"/>
          <w:color w:val="000000"/>
          <w:sz w:val="26"/>
        </w:rPr>
        <w:t>B.①④</w:t>
      </w:r>
      <w:r>
        <w:tab/>
      </w:r>
      <w:r>
        <w:rPr>
          <w:rFonts w:ascii="宋体" w:hAnsi="宋体" w:eastAsia="宋体" w:cs="宋体"/>
          <w:color w:val="000000"/>
          <w:sz w:val="26"/>
        </w:rPr>
        <w:t>C.②③</w:t>
      </w:r>
      <w:r>
        <w:tab/>
      </w:r>
      <w:r>
        <w:rPr>
          <w:rFonts w:ascii="宋体" w:hAnsi="宋体" w:eastAsia="宋体" w:cs="宋体"/>
          <w:color w:val="000000"/>
          <w:sz w:val="26"/>
        </w:rPr>
        <w:t>D.③④</w:t>
      </w:r>
    </w:p>
    <w:p w14:paraId="6F497DA1">
      <w:pPr>
        <w:wordWrap w:val="0"/>
        <w:spacing w:line="240" w:lineRule="exact"/>
        <w:rPr>
          <w:sz w:val="22"/>
        </w:rPr>
      </w:pPr>
    </w:p>
    <w:p w14:paraId="3CB597A4">
      <w:pPr>
        <w:wordWrap w:val="0"/>
        <w:spacing w:line="400" w:lineRule="atLeast"/>
        <w:ind w:left="40"/>
        <w:rPr>
          <w:sz w:val="24"/>
        </w:rPr>
      </w:pPr>
      <w:r>
        <w:rPr>
          <w:rFonts w:ascii="宋体" w:hAnsi="宋体" w:eastAsia="宋体" w:cs="宋体"/>
          <w:color w:val="000000"/>
          <w:sz w:val="24"/>
        </w:rPr>
        <w:t>8.右侧漫画蕴含的哲学道理是</w:t>
      </w:r>
    </w:p>
    <w:p w14:paraId="04CDAE3E">
      <w:pPr>
        <w:wordWrap w:val="0"/>
        <w:spacing w:line="400" w:lineRule="atLeast"/>
        <w:ind w:left="260"/>
        <w:rPr>
          <w:sz w:val="24"/>
        </w:rPr>
      </w:pPr>
      <w:r>
        <w:rPr>
          <w:rFonts w:ascii="宋体" w:hAnsi="宋体" w:eastAsia="宋体" w:cs="宋体"/>
          <w:color w:val="000000"/>
          <w:sz w:val="24"/>
        </w:rPr>
        <w:t>①真理要经过认识、实践、认识的多次循环往复</w:t>
      </w:r>
      <w:r>
        <w:drawing>
          <wp:anchor distT="0" distB="0" distL="0" distR="0" simplePos="0" relativeHeight="251661312" behindDoc="1" locked="0" layoutInCell="1" allowOverlap="1">
            <wp:simplePos x="0" y="0"/>
            <wp:positionH relativeFrom="page">
              <wp:posOffset>4813300</wp:posOffset>
            </wp:positionH>
            <wp:positionV relativeFrom="paragraph">
              <wp:posOffset>-215900</wp:posOffset>
            </wp:positionV>
            <wp:extent cx="1790700" cy="1295400"/>
            <wp:effectExtent l="0" t="0" r="0" b="0"/>
            <wp:wrapNone/>
            <wp:docPr id="2" name="Drawing 2"/>
            <wp:cNvGraphicFramePr/>
            <a:graphic xmlns:a="http://schemas.openxmlformats.org/drawingml/2006/main">
              <a:graphicData uri="http://schemas.openxmlformats.org/drawingml/2006/picture">
                <pic:pic xmlns:pic="http://schemas.openxmlformats.org/drawingml/2006/picture">
                  <pic:nvPicPr>
                    <pic:cNvPr id="2" name="Drawing 2"/>
                    <pic:cNvPicPr/>
                  </pic:nvPicPr>
                  <pic:blipFill>
                    <a:blip r:embed="rId8"/>
                    <a:stretch>
                      <a:fillRect/>
                    </a:stretch>
                  </pic:blipFill>
                  <pic:spPr>
                    <a:xfrm>
                      <a:off x="0" y="0"/>
                      <a:ext cx="1790700" cy="1295400"/>
                    </a:xfrm>
                    <a:prstGeom prst="rect">
                      <a:avLst/>
                    </a:prstGeom>
                  </pic:spPr>
                </pic:pic>
              </a:graphicData>
            </a:graphic>
          </wp:anchor>
        </w:drawing>
      </w:r>
    </w:p>
    <w:p w14:paraId="71DEAF9D">
      <w:pPr>
        <w:wordWrap w:val="0"/>
        <w:spacing w:line="400" w:lineRule="atLeast"/>
        <w:ind w:left="260"/>
        <w:rPr>
          <w:sz w:val="24"/>
        </w:rPr>
      </w:pPr>
      <w:r>
        <w:rPr>
          <w:rFonts w:ascii="宋体" w:hAnsi="宋体" w:eastAsia="宋体" w:cs="宋体"/>
          <w:color w:val="000000"/>
          <w:sz w:val="24"/>
        </w:rPr>
        <w:t>②事物发展的前景是光明的，要理性看待其过程</w:t>
      </w:r>
    </w:p>
    <w:p w14:paraId="2BB47D1A">
      <w:pPr>
        <w:wordWrap w:val="0"/>
        <w:spacing w:line="400" w:lineRule="atLeast"/>
        <w:ind w:left="260"/>
        <w:rPr>
          <w:sz w:val="24"/>
        </w:rPr>
      </w:pPr>
      <w:r>
        <w:rPr>
          <w:rFonts w:ascii="宋体" w:hAnsi="宋体" w:eastAsia="宋体" w:cs="宋体"/>
          <w:color w:val="000000"/>
          <w:sz w:val="24"/>
        </w:rPr>
        <w:t>③方向决定出路，关键是要找准事物的发展方向</w:t>
      </w:r>
    </w:p>
    <w:p w14:paraId="3F5B8C03">
      <w:pPr>
        <w:wordWrap w:val="0"/>
        <w:spacing w:line="400" w:lineRule="atLeast"/>
        <w:ind w:left="260"/>
        <w:rPr>
          <w:sz w:val="24"/>
        </w:rPr>
      </w:pPr>
      <w:r>
        <w:rPr>
          <w:rFonts w:ascii="宋体" w:hAnsi="宋体" w:eastAsia="宋体" w:cs="宋体"/>
          <w:color w:val="000000"/>
          <w:sz w:val="24"/>
        </w:rPr>
        <w:t>④从量的积累到质的转变是事物发展的必经状态</w:t>
      </w:r>
    </w:p>
    <w:p w14:paraId="3EA454E7">
      <w:pPr>
        <w:tabs>
          <w:tab w:val="left" w:pos="2800"/>
        </w:tabs>
        <w:wordWrap w:val="0"/>
        <w:spacing w:line="400" w:lineRule="atLeast"/>
        <w:ind w:left="260"/>
        <w:rPr>
          <w:sz w:val="29"/>
        </w:rPr>
      </w:pPr>
      <w:r>
        <w:rPr>
          <w:rFonts w:ascii="宋体" w:hAnsi="宋体" w:eastAsia="宋体" w:cs="宋体"/>
          <w:color w:val="000000"/>
          <w:sz w:val="29"/>
        </w:rPr>
        <w:t>A.①②</w:t>
      </w:r>
      <w:r>
        <w:tab/>
      </w:r>
      <w:r>
        <w:rPr>
          <w:rFonts w:ascii="宋体" w:hAnsi="宋体" w:eastAsia="宋体" w:cs="宋体"/>
          <w:color w:val="000000"/>
          <w:sz w:val="29"/>
        </w:rPr>
        <w:t>B.①③</w:t>
      </w:r>
    </w:p>
    <w:p w14:paraId="5A1705CF">
      <w:pPr>
        <w:tabs>
          <w:tab w:val="left" w:pos="2800"/>
        </w:tabs>
        <w:wordWrap w:val="0"/>
        <w:spacing w:line="400" w:lineRule="atLeast"/>
        <w:ind w:left="260"/>
        <w:rPr>
          <w:sz w:val="29"/>
        </w:rPr>
      </w:pPr>
      <w:r>
        <w:rPr>
          <w:rFonts w:ascii="宋体" w:hAnsi="宋体" w:eastAsia="宋体" w:cs="宋体"/>
          <w:color w:val="000000"/>
          <w:sz w:val="29"/>
        </w:rPr>
        <w:t>C.②④</w:t>
      </w:r>
      <w:r>
        <w:tab/>
      </w:r>
      <w:r>
        <w:rPr>
          <w:rFonts w:ascii="宋体" w:hAnsi="宋体" w:eastAsia="宋体" w:cs="宋体"/>
          <w:color w:val="000000"/>
          <w:sz w:val="29"/>
        </w:rPr>
        <w:t>D.③④</w:t>
      </w:r>
    </w:p>
    <w:p w14:paraId="653C0B32">
      <w:pPr>
        <w:wordWrap w:val="0"/>
        <w:spacing w:line="400" w:lineRule="atLeast"/>
        <w:ind w:left="240" w:hanging="200"/>
        <w:rPr>
          <w:sz w:val="24"/>
        </w:rPr>
      </w:pPr>
      <w:r>
        <w:rPr>
          <w:rFonts w:ascii="宋体" w:hAnsi="宋体" w:eastAsia="宋体" w:cs="宋体"/>
          <w:color w:val="000000"/>
          <w:sz w:val="24"/>
        </w:rPr>
        <w:t>9.2025年，“非遗少年派”非遗选拔展示活动启动，面向6至18周岁的青少年，不设门槛，鼓励青少年通过雕刻、剪纸、传统器乐、民歌舞蹈、诗词吟诵等多种形式参与非遗传承与创新，还融合线上线不共创互动，推动非遗融入现代生活。由此可见</w:t>
      </w:r>
    </w:p>
    <w:p w14:paraId="2717EA27">
      <w:pPr>
        <w:wordWrap w:val="0"/>
        <w:spacing w:line="400" w:lineRule="atLeast"/>
        <w:ind w:left="260"/>
        <w:rPr>
          <w:sz w:val="24"/>
        </w:rPr>
      </w:pPr>
      <w:r>
        <w:rPr>
          <w:rFonts w:ascii="宋体" w:hAnsi="宋体" w:eastAsia="宋体" w:cs="宋体"/>
          <w:color w:val="000000"/>
          <w:sz w:val="24"/>
        </w:rPr>
        <w:t>①青少年通过实践体验被动接受非遗文化的熏陶</w:t>
      </w:r>
    </w:p>
    <w:p w14:paraId="366F51B1">
      <w:pPr>
        <w:wordWrap w:val="0"/>
        <w:spacing w:line="400" w:lineRule="atLeast"/>
        <w:ind w:left="260"/>
        <w:rPr>
          <w:sz w:val="24"/>
        </w:rPr>
      </w:pPr>
      <w:r>
        <w:rPr>
          <w:rFonts w:ascii="宋体" w:hAnsi="宋体" w:eastAsia="宋体" w:cs="宋体"/>
          <w:color w:val="000000"/>
          <w:sz w:val="24"/>
        </w:rPr>
        <w:t>②创新表达形式是传统文化传承发展的根本途径</w:t>
      </w:r>
    </w:p>
    <w:p w14:paraId="70E9503D">
      <w:pPr>
        <w:wordWrap w:val="0"/>
        <w:spacing w:line="400" w:lineRule="atLeast"/>
        <w:ind w:left="260"/>
        <w:rPr>
          <w:sz w:val="24"/>
        </w:rPr>
      </w:pPr>
      <w:r>
        <w:rPr>
          <w:rFonts w:ascii="宋体" w:hAnsi="宋体" w:eastAsia="宋体" w:cs="宋体"/>
          <w:color w:val="000000"/>
          <w:sz w:val="24"/>
        </w:rPr>
        <w:t>③非遗活动展现了中华文化的魅力和时代价值</w:t>
      </w:r>
    </w:p>
    <w:p w14:paraId="17961F9B">
      <w:pPr>
        <w:wordWrap w:val="0"/>
        <w:spacing w:line="400" w:lineRule="atLeast"/>
        <w:ind w:left="260"/>
        <w:rPr>
          <w:sz w:val="24"/>
        </w:rPr>
      </w:pPr>
      <w:r>
        <w:rPr>
          <w:rFonts w:ascii="宋体" w:hAnsi="宋体" w:eastAsia="宋体" w:cs="宋体"/>
          <w:color w:val="000000"/>
          <w:sz w:val="24"/>
        </w:rPr>
        <w:t>④优秀传统文化在适应社会变迁中获得了新的生命力</w:t>
      </w:r>
    </w:p>
    <w:p w14:paraId="125F608E">
      <w:pPr>
        <w:tabs>
          <w:tab w:val="left" w:pos="2800"/>
          <w:tab w:val="left" w:pos="5380"/>
          <w:tab w:val="left" w:pos="7940"/>
        </w:tabs>
        <w:wordWrap w:val="0"/>
        <w:spacing w:line="400" w:lineRule="atLeast"/>
        <w:ind w:left="280"/>
        <w:rPr>
          <w:sz w:val="29"/>
        </w:rPr>
      </w:pPr>
      <w:r>
        <w:rPr>
          <w:rFonts w:ascii="宋体" w:hAnsi="宋体" w:eastAsia="宋体" w:cs="宋体"/>
          <w:color w:val="000000"/>
          <w:sz w:val="29"/>
        </w:rPr>
        <w:t>A.①②</w:t>
      </w:r>
      <w:r>
        <w:tab/>
      </w:r>
      <w:r>
        <w:rPr>
          <w:rFonts w:ascii="宋体" w:hAnsi="宋体" w:eastAsia="宋体" w:cs="宋体"/>
          <w:color w:val="000000"/>
          <w:sz w:val="29"/>
        </w:rPr>
        <w:t>B.①④</w:t>
      </w:r>
      <w:r>
        <w:tab/>
      </w:r>
      <w:r>
        <w:rPr>
          <w:rFonts w:ascii="宋体" w:hAnsi="宋体" w:eastAsia="宋体" w:cs="宋体"/>
          <w:color w:val="000000"/>
          <w:sz w:val="29"/>
        </w:rPr>
        <w:t>C.②③</w:t>
      </w:r>
      <w:r>
        <w:tab/>
      </w:r>
      <w:r>
        <w:rPr>
          <w:rFonts w:ascii="宋体" w:hAnsi="宋体" w:eastAsia="宋体" w:cs="宋体"/>
          <w:color w:val="000000"/>
          <w:sz w:val="29"/>
        </w:rPr>
        <w:t>D.③④</w:t>
      </w:r>
    </w:p>
    <w:p w14:paraId="33A34CEF">
      <w:pPr>
        <w:wordWrap w:val="0"/>
        <w:spacing w:line="400" w:lineRule="atLeast"/>
        <w:ind w:left="320" w:hanging="280"/>
        <w:rPr>
          <w:sz w:val="24"/>
        </w:rPr>
      </w:pPr>
      <w:r>
        <w:rPr>
          <w:rFonts w:ascii="宋体" w:hAnsi="宋体" w:eastAsia="宋体" w:cs="宋体"/>
          <w:color w:val="000000"/>
          <w:sz w:val="24"/>
        </w:rPr>
        <w:t>10.2025年，《哪吒之魔童闹海》将《山海经》中的神话元素与赛博朋克美学结合，重构了东海龙宫的视觉体系，传统水墨的晕染效果通过自主研发的“动态水墨渲染引擎”融入3D动画，让“蛟龙入海”的传说既保留古典意境，又充满未来感。该影片自上映以来，受到国内外观众追捧。该影片的这种“中国风”的全球表达说明</w:t>
      </w:r>
    </w:p>
    <w:p w14:paraId="3B723392">
      <w:pPr>
        <w:wordWrap w:val="0"/>
        <w:spacing w:line="400" w:lineRule="atLeast"/>
        <w:ind w:left="360"/>
        <w:rPr>
          <w:sz w:val="24"/>
        </w:rPr>
      </w:pPr>
      <w:r>
        <w:rPr>
          <w:rFonts w:ascii="宋体" w:hAnsi="宋体" w:eastAsia="宋体" w:cs="宋体"/>
          <w:color w:val="000000"/>
          <w:sz w:val="24"/>
        </w:rPr>
        <w:t>①必须保持开放的心态，丰富文化精神内核  ②文化发展要融通不同资源，实现综合创新</w:t>
      </w:r>
    </w:p>
    <w:p w14:paraId="3035D632">
      <w:pPr>
        <w:wordWrap w:val="0"/>
        <w:spacing w:line="400" w:lineRule="atLeast"/>
        <w:ind w:left="360"/>
        <w:rPr>
          <w:sz w:val="24"/>
        </w:rPr>
      </w:pPr>
      <w:r>
        <w:rPr>
          <w:rFonts w:ascii="宋体" w:hAnsi="宋体" w:eastAsia="宋体" w:cs="宋体"/>
          <w:color w:val="000000"/>
          <w:sz w:val="24"/>
        </w:rPr>
        <w:t>③维护文化的多样性是文化创新发展的关键 ④优秀的文化作品应当兼具民族性与世界性</w:t>
      </w:r>
    </w:p>
    <w:p w14:paraId="1F88E923">
      <w:pPr>
        <w:tabs>
          <w:tab w:val="left" w:pos="2820"/>
          <w:tab w:val="left" w:pos="5400"/>
          <w:tab w:val="left" w:pos="7940"/>
        </w:tabs>
        <w:wordWrap w:val="0"/>
        <w:spacing w:line="400" w:lineRule="atLeast"/>
        <w:ind w:left="360"/>
        <w:rPr>
          <w:sz w:val="29"/>
        </w:rPr>
      </w:pPr>
      <w:r>
        <w:rPr>
          <w:rFonts w:ascii="宋体" w:hAnsi="宋体" w:eastAsia="宋体" w:cs="宋体"/>
          <w:color w:val="000000"/>
          <w:sz w:val="29"/>
        </w:rPr>
        <w:t>A.①②</w:t>
      </w:r>
      <w:r>
        <w:tab/>
      </w:r>
      <w:r>
        <w:rPr>
          <w:rFonts w:ascii="宋体" w:hAnsi="宋体" w:eastAsia="宋体" w:cs="宋体"/>
          <w:color w:val="000000"/>
          <w:sz w:val="29"/>
        </w:rPr>
        <w:t>B.①③</w:t>
      </w:r>
      <w:r>
        <w:tab/>
      </w:r>
      <w:r>
        <w:rPr>
          <w:rFonts w:ascii="宋体" w:hAnsi="宋体" w:eastAsia="宋体" w:cs="宋体"/>
          <w:color w:val="000000"/>
          <w:sz w:val="29"/>
        </w:rPr>
        <w:t>C.②④</w:t>
      </w:r>
      <w:r>
        <w:tab/>
      </w:r>
      <w:r>
        <w:rPr>
          <w:rFonts w:ascii="宋体" w:hAnsi="宋体" w:eastAsia="宋体" w:cs="宋体"/>
          <w:color w:val="000000"/>
          <w:sz w:val="29"/>
        </w:rPr>
        <w:t>D.③④</w:t>
      </w:r>
    </w:p>
    <w:p w14:paraId="5BFB7D8A">
      <w:pPr>
        <w:wordWrap w:val="0"/>
        <w:spacing w:line="400" w:lineRule="atLeast"/>
        <w:ind w:left="320" w:hanging="300"/>
        <w:rPr>
          <w:sz w:val="24"/>
        </w:rPr>
      </w:pPr>
      <w:r>
        <w:rPr>
          <w:rFonts w:ascii="宋体" w:hAnsi="宋体" w:eastAsia="宋体" w:cs="宋体"/>
          <w:color w:val="000000"/>
          <w:sz w:val="24"/>
        </w:rPr>
        <w:t>11.拥有石英石等丰富矿产原料的埃及，在十几年前对玻璃纤维还很陌生。中国某大型玻纤公司到埃及投资建厂，与当地共同开发，帮助埃及玻纤行业从无到有，使埃及成为世界玻纤生产大国和出口大国。该企业的做法成功之处在于</w:t>
      </w:r>
    </w:p>
    <w:p w14:paraId="6E2D2612">
      <w:pPr>
        <w:wordWrap w:val="0"/>
        <w:spacing w:line="400" w:lineRule="atLeast"/>
        <w:ind w:left="360"/>
        <w:rPr>
          <w:sz w:val="24"/>
        </w:rPr>
      </w:pPr>
      <w:r>
        <w:rPr>
          <w:rFonts w:ascii="宋体" w:hAnsi="宋体" w:eastAsia="宋体" w:cs="宋体"/>
          <w:color w:val="000000"/>
          <w:sz w:val="24"/>
        </w:rPr>
        <w:t>①推动资本与技术的跨国流动，优化要素配置以提升竞争力</w:t>
      </w:r>
    </w:p>
    <w:p w14:paraId="5BC4167E">
      <w:pPr>
        <w:wordWrap w:val="0"/>
        <w:spacing w:line="400" w:lineRule="atLeast"/>
        <w:ind w:left="360"/>
        <w:rPr>
          <w:sz w:val="24"/>
        </w:rPr>
      </w:pPr>
      <w:r>
        <w:rPr>
          <w:rFonts w:ascii="宋体" w:hAnsi="宋体" w:eastAsia="宋体" w:cs="宋体"/>
          <w:color w:val="000000"/>
          <w:sz w:val="24"/>
        </w:rPr>
        <w:t>②基于全球市场分工，将人力资源优势与市场需求相结合</w:t>
      </w:r>
    </w:p>
    <w:p w14:paraId="32FA661B">
      <w:pPr>
        <w:wordWrap w:val="0"/>
        <w:spacing w:line="400" w:lineRule="atLeast"/>
        <w:ind w:left="360"/>
        <w:rPr>
          <w:sz w:val="24"/>
        </w:rPr>
      </w:pPr>
      <w:r>
        <w:rPr>
          <w:rFonts w:ascii="宋体" w:hAnsi="宋体" w:eastAsia="宋体" w:cs="宋体"/>
          <w:color w:val="000000"/>
          <w:sz w:val="24"/>
        </w:rPr>
        <w:t>③积极开展国际协作，提升东道国产业能力以实现互利共赢</w:t>
      </w:r>
    </w:p>
    <w:p w14:paraId="225ED7A6">
      <w:pPr>
        <w:wordWrap w:val="0"/>
        <w:spacing w:line="400" w:lineRule="atLeast"/>
        <w:ind w:left="360"/>
        <w:rPr>
          <w:sz w:val="24"/>
        </w:rPr>
      </w:pPr>
      <w:r>
        <w:rPr>
          <w:rFonts w:ascii="宋体" w:hAnsi="宋体" w:eastAsia="宋体" w:cs="宋体"/>
          <w:color w:val="000000"/>
          <w:sz w:val="24"/>
        </w:rPr>
        <w:t>④增加高附加值产品出口，提升自身在全球价值链中的地位</w:t>
      </w:r>
    </w:p>
    <w:p w14:paraId="7EC7C3DC">
      <w:pPr>
        <w:tabs>
          <w:tab w:val="left" w:pos="2820"/>
          <w:tab w:val="left" w:pos="5400"/>
          <w:tab w:val="left" w:pos="7960"/>
        </w:tabs>
        <w:wordWrap w:val="0"/>
        <w:spacing w:line="400" w:lineRule="atLeast"/>
        <w:ind w:left="340"/>
        <w:rPr>
          <w:sz w:val="29"/>
        </w:rPr>
      </w:pPr>
      <w:r>
        <w:rPr>
          <w:rFonts w:ascii="宋体" w:hAnsi="宋体" w:eastAsia="宋体" w:cs="宋体"/>
          <w:color w:val="000000"/>
          <w:sz w:val="29"/>
        </w:rPr>
        <w:t>A.①②</w:t>
      </w:r>
      <w:r>
        <w:tab/>
      </w:r>
      <w:r>
        <w:rPr>
          <w:rFonts w:ascii="宋体" w:hAnsi="宋体" w:eastAsia="宋体" w:cs="宋体"/>
          <w:color w:val="000000"/>
          <w:sz w:val="29"/>
        </w:rPr>
        <w:t>B.①③</w:t>
      </w:r>
      <w:r>
        <w:tab/>
      </w:r>
      <w:r>
        <w:rPr>
          <w:rFonts w:ascii="宋体" w:hAnsi="宋体" w:eastAsia="宋体" w:cs="宋体"/>
          <w:color w:val="000000"/>
          <w:sz w:val="29"/>
        </w:rPr>
        <w:t>C.②④</w:t>
      </w:r>
      <w:r>
        <w:tab/>
      </w:r>
      <w:r>
        <w:rPr>
          <w:rFonts w:ascii="宋体" w:hAnsi="宋体" w:eastAsia="宋体" w:cs="宋体"/>
          <w:color w:val="000000"/>
          <w:sz w:val="29"/>
        </w:rPr>
        <w:t>D.③④</w:t>
      </w:r>
    </w:p>
    <w:p w14:paraId="4E2A09FF">
      <w:pPr>
        <w:wordWrap w:val="0"/>
        <w:spacing w:line="400" w:lineRule="atLeast"/>
        <w:ind w:left="340" w:hanging="340"/>
        <w:rPr>
          <w:sz w:val="24"/>
        </w:rPr>
      </w:pPr>
      <w:r>
        <w:rPr>
          <w:rFonts w:ascii="宋体" w:hAnsi="宋体" w:eastAsia="宋体" w:cs="宋体"/>
          <w:color w:val="000000"/>
          <w:sz w:val="24"/>
        </w:rPr>
        <w:t>12.近十年来，中国不仅是全球能耗强度降低最快的国家，更从多个方面深度引领全球绿色议程：在G20、金砖机制等平台推动能源合作，通过南南合作基金等为发展中国家提供支持，将绿色发展全面纳入“全球发展倡议”并将其作为“一带一路”等中国方案的核心。中国的上述行动</w:t>
      </w:r>
    </w:p>
    <w:p w14:paraId="52AEBB4F">
      <w:pPr>
        <w:wordWrap w:val="0"/>
        <w:spacing w:line="400" w:lineRule="atLeast"/>
        <w:ind w:left="360"/>
        <w:rPr>
          <w:sz w:val="24"/>
        </w:rPr>
      </w:pPr>
      <w:r>
        <w:rPr>
          <w:rFonts w:ascii="宋体" w:hAnsi="宋体" w:eastAsia="宋体" w:cs="宋体"/>
          <w:color w:val="000000"/>
          <w:sz w:val="24"/>
        </w:rPr>
        <w:t>①践行了共商共建共享的全球治理观与绿色发展观</w:t>
      </w:r>
    </w:p>
    <w:p w14:paraId="1C54C548">
      <w:pPr>
        <w:wordWrap w:val="0"/>
        <w:spacing w:line="400" w:lineRule="atLeast"/>
        <w:ind w:left="360"/>
        <w:rPr>
          <w:sz w:val="24"/>
        </w:rPr>
      </w:pPr>
      <w:r>
        <w:rPr>
          <w:rFonts w:ascii="宋体" w:hAnsi="宋体" w:eastAsia="宋体" w:cs="宋体"/>
          <w:color w:val="000000"/>
          <w:sz w:val="24"/>
        </w:rPr>
        <w:t>②展现了负责任大国在全球生态治理中的主动作为</w:t>
      </w:r>
    </w:p>
    <w:p w14:paraId="637E5229">
      <w:pPr>
        <w:wordWrap w:val="0"/>
        <w:spacing w:line="400" w:lineRule="atLeast"/>
        <w:ind w:left="360"/>
        <w:rPr>
          <w:sz w:val="24"/>
        </w:rPr>
      </w:pPr>
      <w:r>
        <w:rPr>
          <w:rFonts w:ascii="宋体" w:hAnsi="宋体" w:eastAsia="宋体" w:cs="宋体"/>
          <w:color w:val="000000"/>
          <w:sz w:val="24"/>
        </w:rPr>
        <w:t>③确立了在全球生态治理体系中的核心与主导地位</w:t>
      </w:r>
    </w:p>
    <w:p w14:paraId="3E50B9A3">
      <w:pPr>
        <w:wordWrap w:val="0"/>
        <w:spacing w:line="400" w:lineRule="atLeast"/>
        <w:ind w:left="360"/>
        <w:rPr>
          <w:sz w:val="24"/>
        </w:rPr>
      </w:pPr>
      <w:r>
        <w:rPr>
          <w:rFonts w:ascii="宋体" w:hAnsi="宋体" w:eastAsia="宋体" w:cs="宋体"/>
          <w:color w:val="000000"/>
          <w:sz w:val="24"/>
        </w:rPr>
        <w:t>④构建了以绿色发展为导向的南南合作援助新模式</w:t>
      </w:r>
    </w:p>
    <w:p w14:paraId="07F6874A">
      <w:pPr>
        <w:tabs>
          <w:tab w:val="left" w:pos="2780"/>
          <w:tab w:val="left" w:pos="5240"/>
          <w:tab w:val="left" w:pos="7680"/>
        </w:tabs>
        <w:wordWrap w:val="0"/>
        <w:spacing w:line="360" w:lineRule="atLeast"/>
        <w:ind w:left="380"/>
        <w:rPr>
          <w:sz w:val="26"/>
        </w:rPr>
      </w:pPr>
      <w:r>
        <w:rPr>
          <w:rFonts w:ascii="宋体" w:hAnsi="宋体" w:eastAsia="宋体" w:cs="宋体"/>
          <w:color w:val="000000"/>
          <w:sz w:val="26"/>
        </w:rPr>
        <w:t>A.①②</w:t>
      </w:r>
      <w:r>
        <w:tab/>
      </w:r>
      <w:r>
        <w:rPr>
          <w:rFonts w:ascii="宋体" w:hAnsi="宋体" w:eastAsia="宋体" w:cs="宋体"/>
          <w:color w:val="000000"/>
          <w:sz w:val="26"/>
        </w:rPr>
        <w:t>B.①③</w:t>
      </w:r>
      <w:r>
        <w:tab/>
      </w:r>
      <w:r>
        <w:rPr>
          <w:rFonts w:ascii="宋体" w:hAnsi="宋体" w:eastAsia="宋体" w:cs="宋体"/>
          <w:color w:val="000000"/>
          <w:sz w:val="26"/>
        </w:rPr>
        <w:t>C.②④</w:t>
      </w:r>
      <w:r>
        <w:tab/>
      </w:r>
      <w:r>
        <w:rPr>
          <w:rFonts w:ascii="宋体" w:hAnsi="宋体" w:eastAsia="宋体" w:cs="宋体"/>
          <w:color w:val="000000"/>
          <w:sz w:val="26"/>
        </w:rPr>
        <w:t>D ③④</w:t>
      </w:r>
    </w:p>
    <w:p w14:paraId="7CC1FFAC">
      <w:pPr>
        <w:wordWrap w:val="0"/>
        <w:spacing w:line="400" w:lineRule="atLeast"/>
        <w:ind w:left="360" w:hanging="340"/>
        <w:rPr>
          <w:sz w:val="24"/>
        </w:rPr>
      </w:pPr>
      <w:r>
        <w:rPr>
          <w:rFonts w:ascii="宋体" w:hAnsi="宋体" w:eastAsia="宋体" w:cs="宋体"/>
          <w:color w:val="000000"/>
          <w:sz w:val="24"/>
        </w:rPr>
        <w:t>13.小王在校园论坛上发布想要出售电脑的帖子：“九成新××品牌笔记本电脑，3800元，有意者联系。”小李随即通过手机联系小王，表示愿意购买，并约定好交易地点。第二天，小李准时到达约定地点，小王籶发来消息说：“不好意思，小刘同学出价3900元，已经把电脑卖给他了。”关于本案的论述，正确的是</w:t>
      </w:r>
    </w:p>
    <w:p w14:paraId="2BA6CC59">
      <w:pPr>
        <w:tabs>
          <w:tab w:val="left" w:pos="5240"/>
        </w:tabs>
        <w:wordWrap w:val="0"/>
        <w:spacing w:line="400" w:lineRule="atLeast"/>
        <w:ind w:left="380"/>
        <w:rPr>
          <w:sz w:val="24"/>
        </w:rPr>
      </w:pPr>
      <w:r>
        <w:rPr>
          <w:rFonts w:ascii="宋体" w:hAnsi="宋体" w:eastAsia="宋体" w:cs="宋体"/>
          <w:color w:val="000000"/>
          <w:sz w:val="24"/>
        </w:rPr>
        <w:t>①帖子的内容属于要约邀请</w:t>
      </w:r>
      <w:r>
        <w:tab/>
      </w:r>
      <w:r>
        <w:rPr>
          <w:rFonts w:ascii="宋体" w:hAnsi="宋体" w:eastAsia="宋体" w:cs="宋体"/>
          <w:color w:val="000000"/>
          <w:sz w:val="24"/>
        </w:rPr>
        <w:t>②小刘属于善意取得第三人</w:t>
      </w:r>
    </w:p>
    <w:p w14:paraId="18636E3C">
      <w:pPr>
        <w:tabs>
          <w:tab w:val="left" w:pos="5240"/>
        </w:tabs>
        <w:wordWrap w:val="0"/>
        <w:spacing w:line="400" w:lineRule="atLeast"/>
        <w:ind w:left="380"/>
        <w:rPr>
          <w:sz w:val="24"/>
        </w:rPr>
      </w:pPr>
      <w:r>
        <w:rPr>
          <w:rFonts w:ascii="宋体" w:hAnsi="宋体" w:eastAsia="宋体" w:cs="宋体"/>
          <w:color w:val="000000"/>
          <w:sz w:val="24"/>
        </w:rPr>
        <w:t>③小刘获得了电脑的所有权</w:t>
      </w:r>
      <w:r>
        <w:tab/>
      </w:r>
      <w:r>
        <w:rPr>
          <w:rFonts w:ascii="宋体" w:hAnsi="宋体" w:eastAsia="宋体" w:cs="宋体"/>
          <w:color w:val="000000"/>
          <w:sz w:val="24"/>
        </w:rPr>
        <w:t>④小王的行为已经构成违约</w:t>
      </w:r>
    </w:p>
    <w:p w14:paraId="7A1A82ED">
      <w:pPr>
        <w:tabs>
          <w:tab w:val="left" w:pos="2780"/>
          <w:tab w:val="left" w:pos="5240"/>
          <w:tab w:val="left" w:pos="7680"/>
        </w:tabs>
        <w:wordWrap w:val="0"/>
        <w:spacing w:line="360" w:lineRule="atLeast"/>
        <w:ind w:left="420"/>
        <w:rPr>
          <w:sz w:val="26"/>
        </w:rPr>
      </w:pPr>
      <w:r>
        <w:rPr>
          <w:rFonts w:ascii="宋体" w:hAnsi="宋体" w:eastAsia="宋体" w:cs="宋体"/>
          <w:color w:val="000000"/>
          <w:sz w:val="26"/>
        </w:rPr>
        <w:t>A.⊕③</w:t>
      </w:r>
      <w:r>
        <w:tab/>
      </w:r>
      <w:r>
        <w:rPr>
          <w:rFonts w:ascii="宋体" w:hAnsi="宋体" w:eastAsia="宋体" w:cs="宋体"/>
          <w:color w:val="000000"/>
          <w:sz w:val="26"/>
        </w:rPr>
        <w:t>B.①④</w:t>
      </w:r>
      <w:r>
        <w:tab/>
      </w:r>
      <w:r>
        <w:rPr>
          <w:rFonts w:ascii="宋体" w:hAnsi="宋体" w:eastAsia="宋体" w:cs="宋体"/>
          <w:color w:val="000000"/>
          <w:sz w:val="26"/>
        </w:rPr>
        <w:t>C.②③</w:t>
      </w:r>
      <w:r>
        <w:tab/>
      </w:r>
      <w:r>
        <w:rPr>
          <w:rFonts w:ascii="宋体" w:hAnsi="宋体" w:eastAsia="宋体" w:cs="宋体"/>
          <w:color w:val="000000"/>
          <w:sz w:val="26"/>
        </w:rPr>
        <w:t>D.②④</w:t>
      </w:r>
    </w:p>
    <w:p w14:paraId="6926338F">
      <w:pPr>
        <w:wordWrap w:val="0"/>
        <w:spacing w:line="400" w:lineRule="atLeast"/>
        <w:ind w:left="380" w:hanging="340"/>
        <w:rPr>
          <w:sz w:val="24"/>
        </w:rPr>
      </w:pPr>
      <w:r>
        <w:rPr>
          <w:rFonts w:ascii="宋体" w:hAnsi="宋体" w:eastAsia="宋体" w:cs="宋体"/>
          <w:color w:val="000000"/>
          <w:sz w:val="24"/>
        </w:rPr>
        <w:t>14.2025年，某省积极推进农村土地“三权分置”改革。村民王某与村委会签订了为期30年的《农村土地承包合同》，依法取得10亩耕地的承包经营权。为扩大种植规模，王某以该土地的经营权作为抵押，从当地农商行获得贷款8万元，用于购买新型农机具。这一做法体现了</w:t>
      </w:r>
    </w:p>
    <w:p w14:paraId="698F167F">
      <w:pPr>
        <w:wordWrap w:val="0"/>
        <w:spacing w:line="400" w:lineRule="atLeast"/>
        <w:ind w:left="420"/>
        <w:rPr>
          <w:sz w:val="24"/>
        </w:rPr>
      </w:pPr>
      <w:r>
        <w:rPr>
          <w:rFonts w:ascii="宋体" w:hAnsi="宋体" w:eastAsia="宋体" w:cs="宋体"/>
          <w:color w:val="000000"/>
          <w:sz w:val="24"/>
        </w:rPr>
        <w:t>①王某享有的土地承包经营权属于用益物权</w:t>
      </w:r>
    </w:p>
    <w:p w14:paraId="3BA0F2A9">
      <w:pPr>
        <w:wordWrap w:val="0"/>
        <w:spacing w:line="400" w:lineRule="atLeast"/>
        <w:ind w:left="420"/>
        <w:rPr>
          <w:sz w:val="24"/>
        </w:rPr>
      </w:pPr>
      <w:r>
        <w:rPr>
          <w:rFonts w:ascii="宋体" w:hAnsi="宋体" w:eastAsia="宋体" w:cs="宋体"/>
          <w:color w:val="000000"/>
          <w:sz w:val="24"/>
        </w:rPr>
        <w:t>②该耕地的所有权归王某，承包权归村集体所有</w:t>
      </w:r>
    </w:p>
    <w:p w14:paraId="55D96FB8">
      <w:pPr>
        <w:wordWrap w:val="0"/>
        <w:spacing w:line="400" w:lineRule="atLeast"/>
        <w:ind w:left="420"/>
        <w:rPr>
          <w:sz w:val="24"/>
        </w:rPr>
      </w:pPr>
      <w:r>
        <w:rPr>
          <w:rFonts w:ascii="宋体" w:hAnsi="宋体" w:eastAsia="宋体" w:cs="宋体"/>
          <w:color w:val="000000"/>
          <w:sz w:val="24"/>
        </w:rPr>
        <w:t>③村集体有权在承包期内单方收回王某的承包地</w:t>
      </w:r>
    </w:p>
    <w:p w14:paraId="7F467CEB">
      <w:pPr>
        <w:wordWrap w:val="0"/>
        <w:spacing w:line="400" w:lineRule="atLeast"/>
        <w:ind w:left="420"/>
        <w:rPr>
          <w:sz w:val="24"/>
        </w:rPr>
      </w:pPr>
      <w:r>
        <w:rPr>
          <w:rFonts w:ascii="宋体" w:hAnsi="宋体" w:eastAsia="宋体" w:cs="宋体"/>
          <w:color w:val="000000"/>
          <w:sz w:val="24"/>
        </w:rPr>
        <w:t>④王某抵押耕地经营权的行为符合法律规定</w:t>
      </w:r>
    </w:p>
    <w:p w14:paraId="01BBFFD8">
      <w:pPr>
        <w:tabs>
          <w:tab w:val="left" w:pos="2800"/>
          <w:tab w:val="left" w:pos="5260"/>
          <w:tab w:val="left" w:pos="7700"/>
        </w:tabs>
        <w:wordWrap w:val="0"/>
        <w:spacing w:line="360" w:lineRule="atLeast"/>
        <w:ind w:left="360"/>
        <w:rPr>
          <w:sz w:val="26"/>
        </w:rPr>
      </w:pPr>
      <w:r>
        <w:rPr>
          <w:rFonts w:ascii="宋体" w:hAnsi="宋体" w:eastAsia="宋体" w:cs="宋体"/>
          <w:color w:val="000000"/>
          <w:sz w:val="26"/>
        </w:rPr>
        <w:t>A.①③</w:t>
      </w:r>
      <w:r>
        <w:tab/>
      </w:r>
      <w:r>
        <w:rPr>
          <w:rFonts w:ascii="宋体" w:hAnsi="宋体" w:eastAsia="宋体" w:cs="宋体"/>
          <w:color w:val="000000"/>
          <w:sz w:val="26"/>
        </w:rPr>
        <w:t>B.①④</w:t>
      </w:r>
      <w:r>
        <w:tab/>
      </w:r>
      <w:r>
        <w:rPr>
          <w:rFonts w:ascii="宋体" w:hAnsi="宋体" w:eastAsia="宋体" w:cs="宋体"/>
          <w:color w:val="000000"/>
          <w:sz w:val="26"/>
        </w:rPr>
        <w:t>C.②④</w:t>
      </w:r>
      <w:r>
        <w:tab/>
      </w:r>
      <w:r>
        <w:rPr>
          <w:rFonts w:ascii="宋体" w:hAnsi="宋体" w:eastAsia="宋体" w:cs="宋体"/>
          <w:color w:val="000000"/>
          <w:sz w:val="26"/>
        </w:rPr>
        <w:t>D.②③</w:t>
      </w:r>
    </w:p>
    <w:p w14:paraId="158A4A43">
      <w:pPr>
        <w:wordWrap w:val="0"/>
        <w:spacing w:line="400" w:lineRule="atLeast"/>
        <w:rPr>
          <w:sz w:val="24"/>
        </w:rPr>
      </w:pPr>
      <w:r>
        <w:rPr>
          <w:rFonts w:ascii="宋体" w:hAnsi="宋体" w:eastAsia="宋体" w:cs="宋体"/>
          <w:color w:val="000000"/>
          <w:sz w:val="24"/>
        </w:rPr>
        <w:t>15.要准确鲜明地表达思想，思维必须合乎逻辑。以下对应的分析符合逻辑要求的是</w:t>
      </w:r>
    </w:p>
    <w:tbl>
      <w:tblPr>
        <w:tblStyle w:val="4"/>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3820"/>
        <w:gridCol w:w="4760"/>
      </w:tblGrid>
      <w:tr w14:paraId="34442C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860" w:type="dxa"/>
            <w:vAlign w:val="center"/>
          </w:tcPr>
          <w:p w14:paraId="3A0BE714">
            <w:pPr>
              <w:wordWrap w:val="0"/>
              <w:spacing w:line="280" w:lineRule="atLeast"/>
              <w:jc w:val="center"/>
            </w:pPr>
            <w:r>
              <w:rPr>
                <w:rFonts w:ascii="宋体" w:hAnsi="宋体" w:eastAsia="宋体" w:cs="宋体"/>
                <w:b/>
                <w:color w:val="000000"/>
              </w:rPr>
              <w:t>①</w:t>
            </w:r>
          </w:p>
        </w:tc>
        <w:tc>
          <w:tcPr>
            <w:tcW w:w="3820" w:type="dxa"/>
            <w:vAlign w:val="center"/>
          </w:tcPr>
          <w:p w14:paraId="7A3DAB1F">
            <w:pPr>
              <w:wordWrap w:val="0"/>
              <w:spacing w:line="280" w:lineRule="atLeast"/>
              <w:jc w:val="center"/>
            </w:pPr>
            <w:r>
              <w:rPr>
                <w:rFonts w:ascii="宋体" w:hAnsi="宋体" w:eastAsia="宋体" w:cs="宋体"/>
                <w:b/>
                <w:color w:val="000000"/>
              </w:rPr>
              <w:t>利民之事，丝发必兴</w:t>
            </w:r>
          </w:p>
        </w:tc>
        <w:tc>
          <w:tcPr>
            <w:tcW w:w="4760" w:type="dxa"/>
            <w:vAlign w:val="center"/>
          </w:tcPr>
          <w:p w14:paraId="7D67D8E5">
            <w:pPr>
              <w:wordWrap w:val="0"/>
              <w:spacing w:line="280" w:lineRule="atLeast"/>
            </w:pPr>
            <w:r>
              <w:rPr>
                <w:rFonts w:ascii="宋体" w:hAnsi="宋体" w:eastAsia="宋体" w:cs="宋体"/>
                <w:b/>
                <w:color w:val="000000"/>
              </w:rPr>
              <w:t>该思维方式的主要特征是基本单元的概念性和思维表达的情感性</w:t>
            </w:r>
          </w:p>
        </w:tc>
      </w:tr>
      <w:tr w14:paraId="1ADC3C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860" w:type="dxa"/>
            <w:vAlign w:val="center"/>
          </w:tcPr>
          <w:p w14:paraId="03E87022">
            <w:pPr>
              <w:wordWrap w:val="0"/>
              <w:spacing w:line="280" w:lineRule="atLeast"/>
              <w:jc w:val="center"/>
            </w:pPr>
            <w:r>
              <w:rPr>
                <w:rFonts w:ascii="宋体" w:hAnsi="宋体" w:eastAsia="宋体" w:cs="宋体"/>
                <w:b/>
                <w:color w:val="000000"/>
              </w:rPr>
              <w:t>②</w:t>
            </w:r>
          </w:p>
        </w:tc>
        <w:tc>
          <w:tcPr>
            <w:tcW w:w="3820" w:type="dxa"/>
            <w:vAlign w:val="center"/>
          </w:tcPr>
          <w:p w14:paraId="06BEE844">
            <w:pPr>
              <w:wordWrap w:val="0"/>
              <w:spacing w:line="280" w:lineRule="atLeast"/>
              <w:jc w:val="center"/>
            </w:pPr>
            <w:r>
              <w:rPr>
                <w:rFonts w:ascii="宋体" w:hAnsi="宋体" w:eastAsia="宋体" w:cs="宋体"/>
                <w:b/>
                <w:color w:val="000000"/>
              </w:rPr>
              <w:t>强国必须强军，军强才能国安</w:t>
            </w:r>
          </w:p>
        </w:tc>
        <w:tc>
          <w:tcPr>
            <w:tcW w:w="4760" w:type="dxa"/>
            <w:vAlign w:val="center"/>
          </w:tcPr>
          <w:p w14:paraId="11DFE222">
            <w:pPr>
              <w:wordWrap w:val="0"/>
              <w:spacing w:line="280" w:lineRule="atLeast"/>
            </w:pPr>
            <w:r>
              <w:rPr>
                <w:rFonts w:ascii="宋体" w:hAnsi="宋体" w:eastAsia="宋体" w:cs="宋体"/>
                <w:b/>
                <w:color w:val="000000"/>
              </w:rPr>
              <w:t>“强国必须强军”的有效形式为前件真，后件则真</w:t>
            </w:r>
          </w:p>
        </w:tc>
      </w:tr>
      <w:tr w14:paraId="634FF1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860" w:type="dxa"/>
            <w:vAlign w:val="center"/>
          </w:tcPr>
          <w:p w14:paraId="21321AFD">
            <w:pPr>
              <w:wordWrap w:val="0"/>
              <w:spacing w:line="280" w:lineRule="atLeast"/>
              <w:jc w:val="center"/>
            </w:pPr>
            <w:r>
              <w:rPr>
                <w:rFonts w:ascii="宋体" w:hAnsi="宋体" w:eastAsia="宋体" w:cs="宋体"/>
                <w:b/>
                <w:color w:val="000000"/>
              </w:rPr>
              <w:t>③</w:t>
            </w:r>
          </w:p>
        </w:tc>
        <w:tc>
          <w:tcPr>
            <w:tcW w:w="3820" w:type="dxa"/>
            <w:vAlign w:val="center"/>
          </w:tcPr>
          <w:p w14:paraId="3029F2D3">
            <w:pPr>
              <w:wordWrap w:val="0"/>
              <w:spacing w:line="280" w:lineRule="atLeast"/>
              <w:jc w:val="center"/>
            </w:pPr>
            <w:r>
              <w:rPr>
                <w:rFonts w:ascii="宋体" w:hAnsi="宋体" w:eastAsia="宋体" w:cs="宋体"/>
                <w:b/>
                <w:color w:val="000000"/>
              </w:rPr>
              <w:t>绿水青山就是金山银山</w:t>
            </w:r>
          </w:p>
        </w:tc>
        <w:tc>
          <w:tcPr>
            <w:tcW w:w="4760" w:type="dxa"/>
            <w:vAlign w:val="center"/>
          </w:tcPr>
          <w:p w14:paraId="6AE17B47">
            <w:pPr>
              <w:wordWrap w:val="0"/>
              <w:spacing w:line="280" w:lineRule="atLeast"/>
            </w:pPr>
            <w:r>
              <w:rPr>
                <w:rFonts w:ascii="宋体" w:hAnsi="宋体" w:eastAsia="宋体" w:cs="宋体"/>
                <w:b/>
                <w:color w:val="000000"/>
              </w:rPr>
              <w:t>该判断为全称肯定判断，换位推理后的谓项是不周延的</w:t>
            </w:r>
          </w:p>
        </w:tc>
      </w:tr>
      <w:tr w14:paraId="135EC2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860" w:type="dxa"/>
            <w:vAlign w:val="center"/>
          </w:tcPr>
          <w:p w14:paraId="0F1D00E6">
            <w:pPr>
              <w:wordWrap w:val="0"/>
              <w:spacing w:line="280" w:lineRule="atLeast"/>
              <w:jc w:val="center"/>
            </w:pPr>
            <w:r>
              <w:rPr>
                <w:rFonts w:ascii="宋体" w:hAnsi="宋体" w:eastAsia="宋体" w:cs="宋体"/>
                <w:b/>
                <w:color w:val="000000"/>
              </w:rPr>
              <w:t>④</w:t>
            </w:r>
          </w:p>
        </w:tc>
        <w:tc>
          <w:tcPr>
            <w:tcW w:w="3820" w:type="dxa"/>
            <w:vAlign w:val="center"/>
          </w:tcPr>
          <w:p w14:paraId="75A5B5BA">
            <w:pPr>
              <w:wordWrap w:val="0"/>
              <w:spacing w:line="280" w:lineRule="atLeast"/>
              <w:jc w:val="center"/>
            </w:pPr>
            <w:r>
              <w:rPr>
                <w:rFonts w:ascii="宋体" w:hAnsi="宋体" w:eastAsia="宋体" w:cs="宋体"/>
                <w:b/>
                <w:color w:val="000000"/>
              </w:rPr>
              <w:t>近年来某国宣传“贸易吃亏论”，而2024年该国贸易顺差总额近3，000亿美元</w:t>
            </w:r>
          </w:p>
        </w:tc>
        <w:tc>
          <w:tcPr>
            <w:tcW w:w="4760" w:type="dxa"/>
            <w:vAlign w:val="center"/>
          </w:tcPr>
          <w:p w14:paraId="4C24763B">
            <w:pPr>
              <w:wordWrap w:val="0"/>
              <w:spacing w:line="280" w:lineRule="atLeast"/>
            </w:pPr>
            <w:r>
              <w:rPr>
                <w:rFonts w:ascii="宋体" w:hAnsi="宋体" w:eastAsia="宋体" w:cs="宋体"/>
                <w:b/>
                <w:color w:val="000000"/>
              </w:rPr>
              <w:t>“贸易吃亏论”和“贸易顺差”不能同真，该国言论违背了思维一致性要求</w:t>
            </w:r>
          </w:p>
        </w:tc>
      </w:tr>
    </w:tbl>
    <w:p w14:paraId="54FF2CBB">
      <w:pPr>
        <w:tabs>
          <w:tab w:val="left" w:pos="2800"/>
          <w:tab w:val="left" w:pos="5260"/>
          <w:tab w:val="left" w:pos="7680"/>
        </w:tabs>
        <w:wordWrap w:val="0"/>
        <w:spacing w:line="360" w:lineRule="atLeast"/>
        <w:ind w:left="360"/>
        <w:rPr>
          <w:sz w:val="26"/>
        </w:rPr>
      </w:pPr>
      <w:r>
        <w:rPr>
          <w:rFonts w:ascii="宋体" w:hAnsi="宋体" w:eastAsia="宋体" w:cs="宋体"/>
          <w:color w:val="000000"/>
          <w:sz w:val="26"/>
        </w:rPr>
        <w:t>A.①②</w:t>
      </w:r>
      <w:r>
        <w:tab/>
      </w:r>
      <w:r>
        <w:rPr>
          <w:rFonts w:ascii="宋体" w:hAnsi="宋体" w:eastAsia="宋体" w:cs="宋体"/>
          <w:color w:val="000000"/>
          <w:sz w:val="26"/>
        </w:rPr>
        <w:t>B ①④</w:t>
      </w:r>
      <w:r>
        <w:tab/>
      </w:r>
      <w:r>
        <w:rPr>
          <w:rFonts w:ascii="宋体" w:hAnsi="宋体" w:eastAsia="宋体" w:cs="宋体"/>
          <w:color w:val="000000"/>
          <w:sz w:val="26"/>
        </w:rPr>
        <w:t>C.②③</w:t>
      </w:r>
      <w:r>
        <w:tab/>
      </w:r>
      <w:r>
        <w:rPr>
          <w:rFonts w:ascii="宋体" w:hAnsi="宋体" w:eastAsia="宋体" w:cs="宋体"/>
          <w:color w:val="000000"/>
          <w:sz w:val="26"/>
        </w:rPr>
        <w:t>D.③④</w:t>
      </w:r>
    </w:p>
    <w:p w14:paraId="3374B62E">
      <w:pPr>
        <w:wordWrap w:val="0"/>
        <w:spacing w:line="400" w:lineRule="atLeast"/>
        <w:ind w:left="340" w:hanging="340"/>
        <w:rPr>
          <w:sz w:val="24"/>
        </w:rPr>
      </w:pPr>
      <w:r>
        <w:rPr>
          <w:rFonts w:ascii="宋体" w:hAnsi="宋体" w:eastAsia="宋体" w:cs="宋体"/>
          <w:color w:val="000000"/>
          <w:sz w:val="24"/>
        </w:rPr>
        <w:t>16.湖南足球超级联赛(湘超)正如火如荼地举行中，其中长沙队、株洲队在14支队伍中实力较强，围绕两支队伍能否进入决赛，同学们展开了讨论：</w:t>
      </w:r>
    </w:p>
    <w:p w14:paraId="2D355F2D">
      <w:pPr>
        <w:wordWrap w:val="0"/>
        <w:spacing w:line="400" w:lineRule="atLeast"/>
        <w:ind w:left="420"/>
        <w:rPr>
          <w:sz w:val="24"/>
        </w:rPr>
      </w:pPr>
      <w:r>
        <w:rPr>
          <w:rFonts w:ascii="宋体" w:hAnsi="宋体" w:eastAsia="宋体" w:cs="宋体"/>
          <w:color w:val="000000"/>
          <w:sz w:val="24"/>
        </w:rPr>
        <w:t>甲说：“长沙队肯定能进入决赛。”</w:t>
      </w:r>
    </w:p>
    <w:p w14:paraId="0331A2DA">
      <w:pPr>
        <w:wordWrap w:val="0"/>
        <w:spacing w:line="400" w:lineRule="atLeast"/>
        <w:ind w:left="420"/>
        <w:rPr>
          <w:sz w:val="24"/>
        </w:rPr>
      </w:pPr>
      <w:r>
        <w:rPr>
          <w:rFonts w:ascii="宋体" w:hAnsi="宋体" w:eastAsia="宋体" w:cs="宋体"/>
          <w:color w:val="000000"/>
          <w:sz w:val="24"/>
        </w:rPr>
        <w:t>乙说：“如果株洲队能进入决赛，那么长沙队也能进入决赛”</w:t>
      </w:r>
    </w:p>
    <w:p w14:paraId="0596EEBB">
      <w:pPr>
        <w:wordWrap w:val="0"/>
        <w:spacing w:line="400" w:lineRule="atLeast"/>
        <w:ind w:left="420"/>
        <w:rPr>
          <w:sz w:val="24"/>
        </w:rPr>
      </w:pPr>
      <w:r>
        <w:rPr>
          <w:rFonts w:ascii="宋体" w:hAnsi="宋体" w:eastAsia="宋体" w:cs="宋体"/>
          <w:color w:val="000000"/>
          <w:sz w:val="24"/>
        </w:rPr>
        <w:t>丙说：“我看好株洲队，但不觉得长沙队能进入决赛。”</w:t>
      </w:r>
    </w:p>
    <w:p w14:paraId="378CD4F0">
      <w:pPr>
        <w:wordWrap w:val="0"/>
        <w:spacing w:line="400" w:lineRule="atLeast"/>
        <w:ind w:left="420"/>
        <w:rPr>
          <w:sz w:val="24"/>
        </w:rPr>
      </w:pPr>
      <w:r>
        <w:rPr>
          <w:rFonts w:ascii="宋体" w:hAnsi="宋体" w:eastAsia="宋体" w:cs="宋体"/>
          <w:color w:val="000000"/>
          <w:sz w:val="24"/>
        </w:rPr>
        <w:t>丁说：“我觉得两个队都能进入决赛。”</w:t>
      </w:r>
    </w:p>
    <w:p w14:paraId="037A715F">
      <w:pPr>
        <w:wordWrap w:val="0"/>
        <w:spacing w:line="400" w:lineRule="atLeast"/>
        <w:ind w:left="420"/>
        <w:rPr>
          <w:sz w:val="24"/>
        </w:rPr>
      </w:pPr>
      <w:r>
        <w:rPr>
          <w:rFonts w:ascii="宋体" w:hAnsi="宋体" w:eastAsia="宋体" w:cs="宋体"/>
          <w:color w:val="000000"/>
          <w:sz w:val="24"/>
        </w:rPr>
        <w:t>若上述四人中只有一人预测错误，由此可推断出</w:t>
      </w:r>
    </w:p>
    <w:p w14:paraId="7EDFA4F3">
      <w:pPr>
        <w:tabs>
          <w:tab w:val="left" w:pos="5220"/>
        </w:tabs>
        <w:wordWrap w:val="0"/>
        <w:spacing w:line="360" w:lineRule="atLeast"/>
        <w:ind w:left="340"/>
        <w:rPr>
          <w:sz w:val="26"/>
        </w:rPr>
      </w:pPr>
      <w:r>
        <w:rPr>
          <w:rFonts w:ascii="宋体" w:hAnsi="宋体" w:eastAsia="宋体" w:cs="宋体"/>
          <w:color w:val="000000"/>
          <w:sz w:val="26"/>
        </w:rPr>
        <w:t>A.只有长沙队进入了决赛</w:t>
      </w:r>
      <w:r>
        <w:tab/>
      </w:r>
      <w:r>
        <w:rPr>
          <w:rFonts w:ascii="宋体" w:hAnsi="宋体" w:eastAsia="宋体" w:cs="宋体"/>
          <w:color w:val="000000"/>
          <w:sz w:val="26"/>
        </w:rPr>
        <w:t>B.两个队都进入了决赛</w:t>
      </w:r>
    </w:p>
    <w:p w14:paraId="6EF92CEF">
      <w:pPr>
        <w:tabs>
          <w:tab w:val="left" w:pos="5220"/>
        </w:tabs>
        <w:wordWrap w:val="0"/>
        <w:spacing w:line="360" w:lineRule="atLeast"/>
        <w:ind w:left="320"/>
        <w:rPr>
          <w:sz w:val="26"/>
        </w:rPr>
      </w:pPr>
      <w:r>
        <w:rPr>
          <w:rFonts w:ascii="宋体" w:hAnsi="宋体" w:eastAsia="宋体" w:cs="宋体"/>
          <w:color w:val="000000"/>
          <w:sz w:val="26"/>
        </w:rPr>
        <w:t>C.只有株洲队进入了决赛</w:t>
      </w:r>
      <w:r>
        <w:tab/>
      </w:r>
      <w:r>
        <w:rPr>
          <w:rFonts w:ascii="宋体" w:hAnsi="宋体" w:eastAsia="宋体" w:cs="宋体"/>
          <w:color w:val="000000"/>
          <w:sz w:val="26"/>
        </w:rPr>
        <w:t>D.两个队都没进入决赛</w:t>
      </w:r>
    </w:p>
    <w:p w14:paraId="16D95034">
      <w:pPr>
        <w:wordWrap w:val="0"/>
        <w:spacing w:line="380" w:lineRule="atLeast"/>
        <w:rPr>
          <w:sz w:val="23"/>
        </w:rPr>
      </w:pPr>
      <w:r>
        <w:rPr>
          <w:rFonts w:ascii="黑体" w:hAnsi="黑体" w:eastAsia="黑体" w:cs="黑体"/>
          <w:b/>
          <w:color w:val="000000"/>
          <w:sz w:val="23"/>
        </w:rPr>
        <w:t>二、非选择题：本题共5小题，共52分。</w:t>
      </w:r>
    </w:p>
    <w:p w14:paraId="6E5469B7">
      <w:pPr>
        <w:wordWrap w:val="0"/>
        <w:spacing w:line="380" w:lineRule="atLeast"/>
        <w:rPr>
          <w:sz w:val="24"/>
        </w:rPr>
      </w:pPr>
      <w:r>
        <w:rPr>
          <w:rFonts w:ascii="宋体" w:hAnsi="宋体" w:eastAsia="宋体" w:cs="宋体"/>
          <w:color w:val="000000"/>
          <w:sz w:val="24"/>
        </w:rPr>
        <w:t>17.阅读材料，完成下列要求。(8分)</w:t>
      </w:r>
    </w:p>
    <w:p w14:paraId="0E6C27FE">
      <w:pPr>
        <w:wordWrap w:val="0"/>
        <w:spacing w:line="380" w:lineRule="atLeast"/>
        <w:ind w:left="380" w:right="20" w:firstLine="480"/>
        <w:rPr>
          <w:sz w:val="23"/>
        </w:rPr>
      </w:pPr>
      <w:r>
        <w:rPr>
          <w:rFonts w:ascii="楷体" w:hAnsi="楷体" w:eastAsia="楷体" w:cs="楷体"/>
          <w:color w:val="000000"/>
          <w:sz w:val="23"/>
        </w:rPr>
        <w:t>《中共中央关于制定国民经济和社会发展第十五个五年规划的建议》(简称“十五五”规划建议)明确提出，推行长期护理保险，健全失能失智老年人照护体系，扩大康复护理、安宁疗护服务供给。</w:t>
      </w:r>
    </w:p>
    <w:p w14:paraId="4F786E84">
      <w:pPr>
        <w:wordWrap w:val="0"/>
        <w:spacing w:line="380" w:lineRule="atLeast"/>
        <w:ind w:left="380" w:firstLine="480"/>
        <w:rPr>
          <w:sz w:val="23"/>
        </w:rPr>
      </w:pPr>
      <w:r>
        <w:rPr>
          <w:rFonts w:ascii="楷体" w:hAnsi="楷体" w:eastAsia="楷体" w:cs="楷体"/>
          <w:color w:val="000000"/>
          <w:sz w:val="23"/>
        </w:rPr>
        <w:t>在我国人口老龄化、高龄化进程加速推进的社会背景下，失能与系统性功能衰退已成为威胁老年群体健康的突出问题。从需求侧看，老年群体对护理服务的需求日益专业化、多元化，不仅需要基础生活照料，更对康复护理、心理支持等提出更高期望；而供给侧却面临“小、散、乱”的行业现状，长期护理险仍存在制度标准不统一、专业护理人员缺口显著、服务质量良莠不齐等问题，供需矛盾日益尖锐。</w:t>
      </w:r>
    </w:p>
    <w:tbl>
      <w:tblPr>
        <w:tblStyle w:val="4"/>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740"/>
      </w:tblGrid>
      <w:tr w14:paraId="5C2144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80" w:hRule="atLeast"/>
        </w:trPr>
        <w:tc>
          <w:tcPr>
            <w:tcW w:w="9740" w:type="dxa"/>
            <w:vAlign w:val="center"/>
          </w:tcPr>
          <w:p w14:paraId="20E674DD">
            <w:pPr>
              <w:wordWrap w:val="0"/>
              <w:spacing w:line="360" w:lineRule="atLeast"/>
              <w:jc w:val="center"/>
            </w:pPr>
            <w:r>
              <w:rPr>
                <w:rFonts w:ascii="黑体" w:hAnsi="黑体" w:eastAsia="黑体" w:cs="黑体"/>
                <w:color w:val="000000"/>
              </w:rPr>
              <w:t>资料卡</w:t>
            </w:r>
          </w:p>
          <w:p w14:paraId="16CDB3B2">
            <w:pPr>
              <w:wordWrap w:val="0"/>
              <w:spacing w:line="360" w:lineRule="atLeast"/>
              <w:ind w:left="100" w:right="60" w:firstLine="440"/>
            </w:pPr>
            <w:r>
              <w:rPr>
                <w:rFonts w:ascii="楷体" w:hAnsi="楷体" w:eastAsia="楷体" w:cs="楷体"/>
                <w:b/>
                <w:color w:val="000000"/>
              </w:rPr>
              <w:t>中国的长期护理保险是社会保险的一部分，是中国社会保障制度补短板的重大制度安排，被称为在养老、医疗、工伤、失业、生育五项社会保险之外的社保“第六险”，主要是为被保险人丧失日常生活能力、年老患病时提供护理保障和经济补偿。</w:t>
            </w:r>
          </w:p>
        </w:tc>
      </w:tr>
    </w:tbl>
    <w:p w14:paraId="0E4AB86D">
      <w:pPr>
        <w:wordWrap w:val="0"/>
        <w:spacing w:line="380" w:lineRule="atLeast"/>
        <w:ind w:left="380" w:firstLine="480"/>
        <w:rPr>
          <w:sz w:val="24"/>
        </w:rPr>
      </w:pPr>
      <w:r>
        <w:rPr>
          <w:rFonts w:ascii="宋体" w:hAnsi="宋体" w:eastAsia="宋体" w:cs="宋体"/>
          <w:color w:val="000000"/>
          <w:sz w:val="24"/>
        </w:rPr>
        <w:t>有人认为，发展长期护理保险制度就能解决老年群体的健康问题，满足其高层次的生活需求。结合材料，运用《经济与社会》的知识，对此加以评析。(8分)</w:t>
      </w:r>
    </w:p>
    <w:p w14:paraId="60328373">
      <w:pPr>
        <w:wordWrap w:val="0"/>
        <w:spacing w:line="380" w:lineRule="atLeast"/>
        <w:rPr>
          <w:sz w:val="24"/>
        </w:rPr>
      </w:pPr>
      <w:r>
        <w:rPr>
          <w:rFonts w:ascii="宋体" w:hAnsi="宋体" w:eastAsia="宋体" w:cs="宋体"/>
          <w:color w:val="000000"/>
          <w:sz w:val="24"/>
        </w:rPr>
        <w:t>18.阅读材料，完成下列要求。(10分)</w:t>
      </w:r>
    </w:p>
    <w:p w14:paraId="03365EDC">
      <w:pPr>
        <w:wordWrap w:val="0"/>
        <w:spacing w:line="380" w:lineRule="atLeast"/>
        <w:ind w:left="380" w:firstLine="480"/>
        <w:rPr>
          <w:sz w:val="23"/>
        </w:rPr>
      </w:pPr>
      <w:r>
        <w:rPr>
          <w:rFonts w:ascii="楷体" w:hAnsi="楷体" w:eastAsia="楷体" w:cs="楷体"/>
          <w:color w:val="000000"/>
          <w:sz w:val="23"/>
        </w:rPr>
        <w:t>某市在深入学习党的二十届四中全会精神的基础上，进一步落实关于“十五五”时期的重大任务，特别是关于知识产权工作的各项要求，建立高效的知识产权综合管理体制，进行了一系列有效的探索。</w:t>
      </w:r>
    </w:p>
    <w:p w14:paraId="5BED298C">
      <w:pPr>
        <w:wordWrap w:val="0"/>
        <w:spacing w:line="380" w:lineRule="atLeast"/>
        <w:ind w:left="380" w:firstLine="480"/>
        <w:rPr>
          <w:sz w:val="23"/>
        </w:rPr>
      </w:pPr>
      <w:r>
        <w:rPr>
          <w:rFonts w:ascii="楷体" w:hAnsi="楷体" w:eastAsia="楷体" w:cs="楷体"/>
          <w:color w:val="000000"/>
          <w:sz w:val="23"/>
        </w:rPr>
        <w:t>为加强知识产权保护，该市中级人民法院充分发挥司法保护知识产权的主导作用，积极运用“云调解”，对知识产权案件进行线上开庭，使身处异地的当事人可通过“云上法庭”系统出庭；与本省市场监督管理局联合出台《关于强化知识产权协同保护的实施意见》，建立知识产权行政保护和司法保护协同保护机制，依法惩处侵犯知识产权行为。同时，该地加强前端普法，组织干警深入乡村社区，向小商户普及知识产权法律知识，帮助经营者提高识别商标的能力，规避经营风险。</w:t>
      </w:r>
    </w:p>
    <w:p w14:paraId="15C62BF2">
      <w:pPr>
        <w:wordWrap w:val="0"/>
        <w:spacing w:line="380" w:lineRule="atLeast"/>
        <w:ind w:left="380" w:right="20" w:firstLine="480"/>
        <w:rPr>
          <w:sz w:val="24"/>
        </w:rPr>
      </w:pPr>
      <w:r>
        <w:rPr>
          <w:rFonts w:ascii="宋体" w:hAnsi="宋体" w:eastAsia="宋体" w:cs="宋体"/>
          <w:color w:val="000000"/>
          <w:sz w:val="24"/>
        </w:rPr>
        <w:t>结合材料，运用《政治与法治》的知识，分析应如何加强知识产权保护，为发展新质生产力蓄势赋能。(10分)</w:t>
      </w:r>
    </w:p>
    <w:p w14:paraId="6D310FF7">
      <w:pPr>
        <w:wordWrap w:val="0"/>
        <w:spacing w:line="380" w:lineRule="atLeast"/>
        <w:rPr>
          <w:sz w:val="24"/>
        </w:rPr>
      </w:pPr>
      <w:r>
        <w:rPr>
          <w:rFonts w:ascii="宋体" w:hAnsi="宋体" w:eastAsia="宋体" w:cs="宋体"/>
          <w:color w:val="000000"/>
          <w:sz w:val="24"/>
        </w:rPr>
        <w:t>19.阅读材料，完成下列要求。(9分)</w:t>
      </w:r>
    </w:p>
    <w:p w14:paraId="1FE29512">
      <w:pPr>
        <w:wordWrap w:val="0"/>
        <w:spacing w:line="380" w:lineRule="atLeast"/>
        <w:ind w:left="380" w:firstLine="480"/>
        <w:rPr>
          <w:sz w:val="23"/>
        </w:rPr>
      </w:pPr>
      <w:r>
        <w:rPr>
          <w:rFonts w:ascii="楷体" w:hAnsi="楷体" w:eastAsia="楷体" w:cs="楷体"/>
          <w:color w:val="000000"/>
          <w:sz w:val="23"/>
        </w:rPr>
        <w:t>2025年《政府工作报告》将绿色发展置于核心战略地位，明确提出加快经济社会发展全面绿色转型。我国是全球可再生能源领域的领跑者，也是全球可再生能源快速大规模增长的主要驱动力。作为煤炭大国，我国煤炭消费在一次能源消费中的比重由十年前的68.5%下降到55.3%；可再生能源发电装机在全国发电总装机中的比重超过50%，在全球可再生能源发电总装机中的比重接近40%。2024年，我国光伏产品连续4年出口超过2000亿元，锂电池出口39.1亿个，电动汽车出口首次突破200万辆。目前，我国已与160多个国家和地区建立了能源科技合作关系；在新能源等领域启动建设53家联合实验室；在共建“一带一路”国家的能源项目投资占总投资的比重超过40%，成立了中国——东盟等多个区域能源合作平台；自2011年以来，累计安排约12亿元人民币专项基金用于开展应对气候变化南南</w:t>
      </w:r>
      <w:r>
        <w:rPr>
          <w:rFonts w:ascii="楷体" w:hAnsi="楷体" w:eastAsia="楷体" w:cs="楷体"/>
          <w:color w:val="000000"/>
          <w:sz w:val="24"/>
        </w:rPr>
        <w:t>合作，援助建设低碳示范区，帮助广大发展中国家获得清洁、可靠、用得起的能源。</w:t>
      </w:r>
    </w:p>
    <w:p w14:paraId="241F8E11">
      <w:pPr>
        <w:wordWrap w:val="0"/>
        <w:spacing w:line="380" w:lineRule="atLeast"/>
        <w:ind w:left="360" w:firstLine="440"/>
        <w:rPr>
          <w:sz w:val="23"/>
        </w:rPr>
      </w:pPr>
      <w:r>
        <w:rPr>
          <w:rFonts w:ascii="宋体" w:hAnsi="宋体" w:eastAsia="宋体" w:cs="宋体"/>
          <w:color w:val="000000"/>
          <w:sz w:val="23"/>
        </w:rPr>
        <w:t>结合材料，运用《当代国际政治与经济》的知识，说明中国积极参与推动全球能源转型的动因。(9分)</w:t>
      </w:r>
    </w:p>
    <w:p w14:paraId="3FFC67F9">
      <w:pPr>
        <w:wordWrap w:val="0"/>
        <w:spacing w:line="380" w:lineRule="atLeast"/>
        <w:rPr>
          <w:sz w:val="23"/>
        </w:rPr>
      </w:pPr>
      <w:r>
        <w:rPr>
          <w:rFonts w:ascii="宋体" w:hAnsi="宋体" w:eastAsia="宋体" w:cs="宋体"/>
          <w:color w:val="000000"/>
          <w:sz w:val="23"/>
        </w:rPr>
        <w:t>20.阅读材料，完成下列要求。(16分)</w:t>
      </w:r>
    </w:p>
    <w:p w14:paraId="616DA6AD">
      <w:pPr>
        <w:wordWrap w:val="0"/>
        <w:spacing w:line="380" w:lineRule="atLeast"/>
        <w:ind w:left="800"/>
        <w:rPr>
          <w:sz w:val="24"/>
        </w:rPr>
      </w:pPr>
      <w:r>
        <w:rPr>
          <w:rFonts w:ascii="黑体" w:hAnsi="黑体" w:eastAsia="黑体" w:cs="黑体"/>
          <w:b/>
          <w:color w:val="000000"/>
          <w:sz w:val="24"/>
        </w:rPr>
        <w:t>【中国与世界对话的桥梁————文化出海】</w:t>
      </w:r>
    </w:p>
    <w:p w14:paraId="0F94E720">
      <w:pPr>
        <w:wordWrap w:val="0"/>
        <w:spacing w:line="380" w:lineRule="atLeast"/>
        <w:ind w:left="360" w:firstLine="440"/>
        <w:rPr>
          <w:sz w:val="24"/>
        </w:rPr>
      </w:pPr>
      <w:r>
        <w:rPr>
          <w:rFonts w:ascii="楷体" w:hAnsi="楷体" w:eastAsia="楷体" w:cs="楷体"/>
          <w:color w:val="000000"/>
          <w:sz w:val="24"/>
        </w:rPr>
        <w:t>在新技术涌现、多元文化激荡的今天，文化出海已成为中国与世界对话的重要桥梁，是推动文明交流互鉴、促进中华文化发展，构建人类命运共同体的重要引擎。网络文学、网络游戏、网络微短剧被称为文化出海“新三样”。中国网络文学海外市场规模超过40亿元，海外访问用户超2.8亿。文化出海的终极目标并非单向输出，而是增进世界对中国传统文化价值的了解，促进中华文化发展，推动人类文明进步。</w:t>
      </w:r>
    </w:p>
    <w:p w14:paraId="6BD407AC">
      <w:pPr>
        <w:wordWrap w:val="0"/>
        <w:spacing w:line="380" w:lineRule="atLeast"/>
        <w:ind w:left="700" w:hanging="340"/>
        <w:rPr>
          <w:sz w:val="23"/>
        </w:rPr>
      </w:pPr>
      <w:r>
        <w:rPr>
          <w:rFonts w:ascii="宋体" w:hAnsi="宋体" w:eastAsia="宋体" w:cs="宋体"/>
          <w:color w:val="000000"/>
          <w:sz w:val="23"/>
        </w:rPr>
        <w:t>(1)文化出海，既是中华文明自身发展的必然选择，也是推动人类文明进步的时代课题。结合材料，运用矛盾问题的精髓的知识对此加以说明。(8分)</w:t>
      </w:r>
    </w:p>
    <w:p w14:paraId="717370BB">
      <w:pPr>
        <w:wordWrap w:val="0"/>
        <w:spacing w:line="380" w:lineRule="atLeast"/>
        <w:ind w:left="800"/>
        <w:rPr>
          <w:sz w:val="24"/>
        </w:rPr>
      </w:pPr>
      <w:r>
        <w:rPr>
          <w:rFonts w:ascii="黑体" w:hAnsi="黑体" w:eastAsia="黑体" w:cs="黑体"/>
          <w:b/>
          <w:color w:val="000000"/>
          <w:sz w:val="24"/>
        </w:rPr>
        <w:t>【经营之路，法律相伴】</w:t>
      </w:r>
    </w:p>
    <w:p w14:paraId="64D3D76F">
      <w:pPr>
        <w:wordWrap w:val="0"/>
        <w:spacing w:line="380" w:lineRule="atLeast"/>
        <w:ind w:left="340" w:firstLine="460"/>
        <w:rPr>
          <w:sz w:val="24"/>
        </w:rPr>
      </w:pPr>
      <w:r>
        <w:rPr>
          <w:rFonts w:ascii="楷体" w:hAnsi="楷体" w:eastAsia="楷体" w:cs="楷体"/>
          <w:color w:val="000000"/>
          <w:sz w:val="24"/>
        </w:rPr>
        <w:t>A公司员工马某在任公司研究所副所长期间，带领团队成功研发泵车遥控器源代码。马某在与权利人签订了保密协议，且明知遥控器源代码是公司商业秘密的情况下，将该源代码及其使用方法给予B公司。B公司在明知遥控器源代码为权利人商业秘密的前提下，依然获取、使用权利人商业秘密，从事泵车遥控器生产销售及维修业务。当地市场监督管理局责令马某停止违法行为，处罚款38万元；责令B公司停止违法行为，处罚款40万元。</w:t>
      </w:r>
    </w:p>
    <w:tbl>
      <w:tblPr>
        <w:tblStyle w:val="4"/>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420"/>
      </w:tblGrid>
      <w:tr w14:paraId="266EE1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9420" w:type="dxa"/>
            <w:vAlign w:val="center"/>
          </w:tcPr>
          <w:p w14:paraId="3EFAEC67">
            <w:pPr>
              <w:wordWrap w:val="0"/>
              <w:spacing w:line="260" w:lineRule="atLeast"/>
              <w:ind w:firstLine="380"/>
              <w:rPr>
                <w:sz w:val="20"/>
              </w:rPr>
            </w:pPr>
            <w:r>
              <w:rPr>
                <w:rFonts w:ascii="楷体" w:hAnsi="楷体" w:eastAsia="楷体" w:cs="楷体"/>
                <w:b/>
                <w:color w:val="000000"/>
                <w:sz w:val="20"/>
              </w:rPr>
              <w:t>《中华人民共和国反不正当竞争法》第九条第四款规定：商业秘密，是指不为公众所知悉、具有商业价值并经权利人采取相应保密措施的技术信息、经营信息等商业信息。</w:t>
            </w:r>
          </w:p>
        </w:tc>
      </w:tr>
    </w:tbl>
    <w:p w14:paraId="7AE8ABF3">
      <w:pPr>
        <w:wordWrap w:val="0"/>
        <w:spacing w:line="380" w:lineRule="atLeast"/>
        <w:ind w:left="660" w:hanging="320"/>
        <w:rPr>
          <w:sz w:val="23"/>
        </w:rPr>
      </w:pPr>
      <w:r>
        <w:rPr>
          <w:rFonts w:ascii="宋体" w:hAnsi="宋体" w:eastAsia="宋体" w:cs="宋体"/>
          <w:color w:val="000000"/>
          <w:sz w:val="23"/>
        </w:rPr>
        <w:t>(2)结合材料，运用《法律与生活》的知识，分析当地市场监督管理局责令B公司处罚款的依据。(8分)</w:t>
      </w:r>
    </w:p>
    <w:p w14:paraId="101A38DE">
      <w:pPr>
        <w:wordWrap w:val="0"/>
        <w:spacing w:line="380" w:lineRule="atLeast"/>
        <w:rPr>
          <w:sz w:val="23"/>
        </w:rPr>
      </w:pPr>
      <w:r>
        <w:rPr>
          <w:rFonts w:ascii="宋体" w:hAnsi="宋体" w:eastAsia="宋体" w:cs="宋体"/>
          <w:color w:val="000000"/>
          <w:sz w:val="23"/>
        </w:rPr>
        <w:t>21.阅读材料，完成下列要求。(9分)</w:t>
      </w:r>
    </w:p>
    <w:p w14:paraId="4E9BC414">
      <w:pPr>
        <w:wordWrap w:val="0"/>
        <w:spacing w:line="380" w:lineRule="atLeast"/>
        <w:ind w:left="340" w:firstLine="460"/>
        <w:rPr>
          <w:sz w:val="24"/>
        </w:rPr>
      </w:pPr>
      <w:r>
        <w:rPr>
          <w:rFonts w:ascii="楷体" w:hAnsi="楷体" w:eastAsia="楷体" w:cs="楷体"/>
          <w:color w:val="000000"/>
          <w:sz w:val="24"/>
        </w:rPr>
        <w:t>2024年入境游客消费总额达942亿美元，同比增长77.8%。截至2025年5月，商务部已将离境退税起退点从500元下调至200元，现金退税限额提升至2万元。政策实施后，某市免税店数据显示，单笔消费金额在200——500元的订单占比从15%跃升至42%，智能穿戴设备销量环比增长210%。国际媒体分析称，“中国购”热潮折射出中国消费环境的持续改善与产业链的高效协同，但部分商家在宣传中将“中国购”简单定义为“外国游客在华购物行为”，忽视了其背后“政策+产业+文化”的复合内涵。</w:t>
      </w:r>
    </w:p>
    <w:p w14:paraId="7AB8EB63">
      <w:pPr>
        <w:wordWrap w:val="0"/>
        <w:spacing w:line="380" w:lineRule="atLeast"/>
        <w:ind w:left="340"/>
        <w:rPr>
          <w:sz w:val="23"/>
        </w:rPr>
      </w:pPr>
      <w:r>
        <w:rPr>
          <w:rFonts w:ascii="宋体" w:hAnsi="宋体" w:eastAsia="宋体" w:cs="宋体"/>
          <w:color w:val="000000"/>
          <w:sz w:val="23"/>
        </w:rPr>
        <w:t>结合材料，运用《逻辑与思维》中的知识，回答下列问题：</w:t>
      </w:r>
    </w:p>
    <w:p w14:paraId="253957D5">
      <w:pPr>
        <w:wordWrap w:val="0"/>
        <w:spacing w:line="380" w:lineRule="atLeast"/>
        <w:ind w:left="340"/>
        <w:rPr>
          <w:sz w:val="23"/>
        </w:rPr>
      </w:pPr>
      <w:r>
        <w:rPr>
          <w:rFonts w:ascii="宋体" w:hAnsi="宋体" w:eastAsia="宋体" w:cs="宋体"/>
          <w:color w:val="000000"/>
          <w:sz w:val="23"/>
        </w:rPr>
        <w:t>(1)指出材料中部分商家对“中国购”的定义违反了逻辑思维的哪项规则，并说明理由。(6分)</w:t>
      </w:r>
    </w:p>
    <w:p w14:paraId="54E9746D">
      <w:pPr>
        <w:wordWrap w:val="0"/>
        <w:spacing w:line="380" w:lineRule="atLeast"/>
        <w:ind w:left="340"/>
        <w:rPr>
          <w:sz w:val="23"/>
        </w:rPr>
      </w:pPr>
      <w:r>
        <w:rPr>
          <w:rFonts w:ascii="宋体" w:hAnsi="宋体" w:eastAsia="宋体" w:cs="宋体"/>
          <w:color w:val="000000"/>
          <w:sz w:val="23"/>
        </w:rPr>
        <w:t>(2)将以下复合判断的演绎推理补充完整，并指出其具体推理类型。(3分)</w:t>
      </w:r>
    </w:p>
    <w:p w14:paraId="0F3F6232">
      <w:pPr>
        <w:wordWrap w:val="0"/>
        <w:spacing w:line="380" w:lineRule="atLeast"/>
        <w:ind w:left="700"/>
        <w:rPr>
          <w:sz w:val="23"/>
        </w:rPr>
      </w:pPr>
      <w:r>
        <w:rPr>
          <w:rFonts w:ascii="宋体" w:hAnsi="宋体" w:eastAsia="宋体" w:cs="宋体"/>
          <w:color w:val="000000"/>
          <w:sz w:val="23"/>
          <w:u w:val="single"/>
        </w:rPr>
        <w:t xml:space="preserve">                                                                              </w:t>
      </w:r>
    </w:p>
    <w:p w14:paraId="71623589">
      <w:pPr>
        <w:wordWrap w:val="0"/>
        <w:spacing w:line="380" w:lineRule="atLeast"/>
        <w:ind w:left="680"/>
        <w:rPr>
          <w:sz w:val="23"/>
        </w:rPr>
      </w:pPr>
      <w:r>
        <w:rPr>
          <w:rFonts w:ascii="宋体" w:hAnsi="宋体" w:eastAsia="宋体" w:cs="宋体"/>
          <w:color w:val="000000"/>
          <w:sz w:val="23"/>
        </w:rPr>
        <w:t>离境退税政策优化会显著提升中小额消费占比。</w:t>
      </w:r>
    </w:p>
    <w:p w14:paraId="07AB372A">
      <w:pPr>
        <w:wordWrap w:val="0"/>
        <w:spacing w:line="380" w:lineRule="atLeast"/>
        <w:ind w:left="680"/>
        <w:rPr>
          <w:sz w:val="23"/>
        </w:rPr>
      </w:pPr>
      <w:r>
        <w:rPr>
          <w:rFonts w:ascii="宋体" w:hAnsi="宋体" w:eastAsia="宋体" w:cs="宋体"/>
          <w:color w:val="000000"/>
          <w:sz w:val="23"/>
        </w:rPr>
        <w:t>因此，中国通过政策调整能进一步激发入境消费潜力。</w:t>
      </w:r>
    </w:p>
    <w:p w14:paraId="32A93935">
      <w:pPr>
        <w:wordWrap w:val="0"/>
        <w:spacing w:line="380" w:lineRule="exact"/>
        <w:rPr>
          <w:sz w:val="23"/>
        </w:rPr>
      </w:pPr>
    </w:p>
    <w:p w14:paraId="0A5A46E4">
      <w:pPr>
        <w:wordWrap w:val="0"/>
        <w:spacing w:line="380" w:lineRule="exact"/>
        <w:rPr>
          <w:sz w:val="23"/>
        </w:rPr>
      </w:pPr>
      <w:bookmarkStart w:id="0" w:name="_GoBack"/>
      <w:bookmarkEnd w:id="0"/>
    </w:p>
    <w:sectPr>
      <w:headerReference r:id="rId3" w:type="default"/>
      <w:footerReference r:id="rId4" w:type="default"/>
      <w:pgSz w:w="11900" w:h="16820"/>
      <w:pgMar w:top="700" w:right="960" w:bottom="700" w:left="960" w:header="851" w:footer="992" w:gutter="0"/>
      <w:cols w:space="720" w:num="1"/>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21EBE"/>
  <w:p w14:paraId="01D28536">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drawing>
        <wp:anchor distT="0" distB="0" distL="0" distR="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stretch>
                    <a:fillRect/>
                  </a:stretch>
                </pic:blipFill>
                <pic:spPr>
                  <a:xfrm>
                    <a:off x="0" y="0"/>
                    <a:ext cx="635" cy="635"/>
                  </a:xfrm>
                  <a:prstGeom prst="rect">
                    <a:avLst/>
                  </a:prstGeom>
                </pic:spPr>
              </pic:pic>
            </a:graphicData>
          </a:graphic>
        </wp:anchor>
      </w:drawing>
    </w:r>
    <w:r>
      <w:rPr>
        <w:rFonts w:hint="eastAsia" w:ascii="Times New Roman" w:hAnsi="Times New Roman" w:eastAsia="宋体" w:cs="Times New Roman"/>
        <w:color w:val="FFFFFF"/>
        <w:kern w:val="0"/>
        <w:sz w:val="2"/>
        <w:szCs w:val="2"/>
      </w:rPr>
      <w:t>学科网（北京）股份有限公司</w:t>
    </w:r>
  </w:p>
  <w:p w14:paraId="070719A2">
    <w:pPr>
      <w:pStyle w:val="2"/>
      <w:rPr>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CFD76"/>
  <w:p w14:paraId="433C59C6">
    <w:pPr>
      <w:pBdr>
        <w:bottom w:val="none" w:color="auto" w:sz="0" w:space="1"/>
      </w:pBdr>
      <w:snapToGrid w:val="0"/>
      <w:rPr>
        <w:rFonts w:ascii="Times New Roman" w:hAnsi="Times New Roman" w:eastAsia="宋体" w:cs="Times New Roman"/>
        <w:kern w:val="0"/>
        <w:sz w:val="2"/>
        <w:szCs w:val="2"/>
      </w:rPr>
    </w:pPr>
    <w:r>
      <w:drawing>
        <wp:anchor distT="0" distB="0" distL="0" distR="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1"/>
                  <a:stretch>
                    <a:fillRect/>
                  </a:stretch>
                </pic:blipFill>
                <pic:spPr>
                  <a:xfrm>
                    <a:off x="0" y="0"/>
                    <a:ext cx="9525" cy="9525"/>
                  </a:xfrm>
                  <a:prstGeom prst="rect">
                    <a:avLst/>
                  </a:prstGeom>
                </pic:spPr>
              </pic:pic>
            </a:graphicData>
          </a:graphic>
        </wp:anchor>
      </w:drawing>
    </w:r>
    <w:r>
      <w:rPr>
        <w:rFonts w:hint="eastAsia"/>
        <w:color w:val="FFFFFF"/>
        <w:sz w:val="2"/>
        <w:szCs w:val="2"/>
      </w:rPr>
      <mc:AlternateContent>
        <mc:Choice Requires="wps">
          <w:drawing>
            <wp:inline distT="0" distB="0" distL="0" distR="0">
              <wp:extent cx="10795" cy="10795"/>
              <wp:effectExtent l="0" t="0" r="0" b="0"/>
              <wp:docPr id="4" name="_x0000_i2050"/>
              <wp:cNvGraphicFramePr/>
              <a:graphic xmlns:a="http://schemas.openxmlformats.org/drawingml/2006/main">
                <a:graphicData uri="http://schemas.microsoft.com/office/word/2010/wordprocessingShape">
                  <wps:wsp>
                    <wps:cNvSpPr/>
                    <wps:spPr>
                      <a:xfrm>
                        <a:off x="0" y="0"/>
                        <a:ext cx="11303" cy="10795"/>
                      </a:xfrm>
                      <a:prstGeom prst="rect">
                        <a:avLst/>
                      </a:prstGeom>
                    </wps:spPr>
                    <wps:txbx>
                      <w:txbxContent>
                        <w:p w14:paraId="2230223B">
                          <w:pPr>
                            <w:snapToGrid w:val="0"/>
                            <w:jc w:val="center"/>
                          </w:pPr>
                          <w:r>
                            <w:rPr>
                              <w:b w:val="0"/>
                              <w:i w:val="0"/>
                              <w:color w:val="000000"/>
                              <w:sz w:val="16"/>
                            </w:rPr>
                            <w:t xml:space="preserve">学科网（北京）股份有限公司 </w:t>
                          </w:r>
                        </w:p>
                      </w:txbxContent>
                    </wps:txbx>
                    <wps:bodyPr rot="0" vert="horz" wrap="square" lIns="91440" tIns="45720" rIns="91440" bIns="45720" anchor="t" anchorCtr="0">
                      <a:prstTxWarp prst="textPlain">
                        <a:avLst/>
                      </a:prstTxWarp>
                    </wps:bodyPr>
                  </wps:wsp>
                </a:graphicData>
              </a:graphic>
            </wp:inline>
          </w:drawing>
        </mc:Choice>
        <mc:Fallback>
          <w:pict>
            <v:rect id="_x0000_i2050" o:spid="_x0000_s1026" o:spt="1" style="height:0.85pt;width:0.85pt;" filled="f" stroked="f" coordsize="21600,21600" o:gfxdata="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Q7w8HRAAAAAQEAAA8AAAAAAAAAAQAgAAAAIgAAAGRy&#10;cy9kb3ducmV2LnhtbFBLAQIUABQAAAAIAIdO4kD7FaMo0wEAAMYDAAAOAAAAAAAAAAEAIAAAACAB&#10;AABkcnMvZTJvRG9jLnhtbFBLBQYAAAAABgAGAFkBAABlBQAAAAA=&#10;">
              <v:fill on="f" focussize="0,0"/>
              <v:stroke on="f"/>
              <v:imagedata o:title=""/>
              <o:lock v:ext="edit" aspectratio="f"/>
              <v:textbox>
                <w:txbxContent>
                  <w:p w14:paraId="2230223B">
                    <w:pPr>
                      <w:snapToGrid w:val="0"/>
                      <w:jc w:val="center"/>
                    </w:pPr>
                    <w:r>
                      <w:rPr>
                        <w:b w:val="0"/>
                        <w:i w:val="0"/>
                        <w:color w:val="000000"/>
                        <w:sz w:val="16"/>
                      </w:rPr>
                      <w:t xml:space="preserve">学科网（北京）股份有限公司 </w:t>
                    </w:r>
                  </w:p>
                </w:txbxContent>
              </v:textbox>
              <w10:wrap type="none"/>
              <w10:anchorlock/>
            </v:rect>
          </w:pict>
        </mc:Fallback>
      </mc:AlternateContent>
    </w:r>
  </w:p>
  <w:p w14:paraId="4B06C027">
    <w:pPr>
      <w:pStyle w:val="3"/>
      <w:pBdr>
        <w:bottom w:val="none" w:color="auto" w:sz="0" w:space="1"/>
      </w:pBdr>
      <w:tabs>
        <w:tab w:val="clear" w:pos="4153"/>
        <w:tab w:val="clear" w:pos="8306"/>
      </w:tabs>
      <w:jc w:val="both"/>
      <w:rPr>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7E7"/>
    <w:rsid w:val="0003493A"/>
    <w:rsid w:val="002B027D"/>
    <w:rsid w:val="004151FC"/>
    <w:rsid w:val="004617E7"/>
    <w:rsid w:val="00C02FC6"/>
    <w:rsid w:val="10797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kern w:val="0"/>
      <w:sz w:val="18"/>
      <w:szCs w:val="18"/>
    </w:rPr>
  </w:style>
  <w:style w:type="character" w:customStyle="1" w:styleId="7">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49"/>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6033</Words>
  <Characters>6261</Characters>
  <Lines>46</Lines>
  <Paragraphs>13</Paragraphs>
  <TotalTime>1</TotalTime>
  <ScaleCrop>false</ScaleCrop>
  <LinksUpToDate>false</LinksUpToDate>
  <CharactersWithSpaces>6392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2026-01-05T01:04:00Z</dcterms:created>
  <dc:creator>期待明天</dc:creator>
  <cp:lastModifiedBy>期待明天</cp:lastModifiedBy>
  <dcterms:modified xsi:type="dcterms:W3CDTF">2026-01-07T01:16:52Z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2052-12.1.0.24657</vt:lpwstr>
  </property>
  <property fmtid="{D5CDD505-2E9C-101B-9397-08002B2CF9AE}" pid="4" name="ICV">
    <vt:lpwstr>DAD6EA9FA02444C4AD71E54418A40B9F_12</vt:lpwstr>
  </property>
</Properties>
</file>